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D19" w:rsidRPr="00952C4D" w:rsidRDefault="00EF4D19" w:rsidP="00177B0E">
      <w:pPr>
        <w:shd w:val="clear" w:color="auto" w:fill="FFFFFF"/>
        <w:spacing w:after="150" w:line="360" w:lineRule="atLeast"/>
        <w:jc w:val="center"/>
        <w:rPr>
          <w:rFonts w:ascii="Arial" w:eastAsia="Times New Roman" w:hAnsi="Arial" w:cs="Arial"/>
          <w:b/>
          <w:bCs/>
          <w:color w:val="3B3B3B"/>
          <w:sz w:val="21"/>
          <w:szCs w:val="21"/>
          <w:lang w:eastAsia="ru-RU"/>
        </w:rPr>
      </w:pPr>
      <w:r w:rsidRPr="00952C4D">
        <w:rPr>
          <w:rFonts w:ascii="Arial" w:eastAsia="Times New Roman" w:hAnsi="Arial" w:cs="Arial"/>
          <w:b/>
          <w:bCs/>
          <w:color w:val="3B3B3B"/>
          <w:sz w:val="21"/>
          <w:szCs w:val="21"/>
          <w:lang w:eastAsia="ru-RU"/>
        </w:rPr>
        <w:t>СВОД ПРАВИЛ СП 153.3330.2011 ПЛАНИРОВКА И ЗАСТРОЙКА ТЕРРИТОРИЙ САДОВОДЧЕСКИХ (ДАЧНЫХ) ОБЪЕДИНЕНИЙ ГРАЖДАН, ЗДАНИЯ И СООРУЖЕНИЯ</w:t>
      </w:r>
    </w:p>
    <w:p w:rsidR="00177B0E" w:rsidRPr="00952C4D" w:rsidRDefault="00177B0E" w:rsidP="00177B0E">
      <w:pPr>
        <w:shd w:val="clear" w:color="auto" w:fill="FFFFFF"/>
        <w:spacing w:after="150" w:line="360" w:lineRule="atLeast"/>
        <w:jc w:val="center"/>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МИНИСТЕРСТВО РЕГИОНАЛЬНОГО РАЗВИТИЯ</w:t>
      </w:r>
      <w:r w:rsidRPr="00952C4D">
        <w:rPr>
          <w:rFonts w:ascii="Arial" w:eastAsia="Times New Roman" w:hAnsi="Arial" w:cs="Arial"/>
          <w:b/>
          <w:bCs/>
          <w:color w:val="3B3B3B"/>
          <w:sz w:val="21"/>
          <w:szCs w:val="21"/>
          <w:lang w:eastAsia="ru-RU"/>
        </w:rPr>
        <w:br/>
        <w:t>РОССИЙСКОЙ ФЕДЕРАЦИИ</w:t>
      </w:r>
    </w:p>
    <w:tbl>
      <w:tblPr>
        <w:tblW w:w="8385" w:type="dxa"/>
        <w:jc w:val="center"/>
        <w:tblCellMar>
          <w:left w:w="0" w:type="dxa"/>
          <w:right w:w="0" w:type="dxa"/>
        </w:tblCellMar>
        <w:tblLook w:val="04A0" w:firstRow="1" w:lastRow="0" w:firstColumn="1" w:lastColumn="0" w:noHBand="0" w:noVBand="1"/>
      </w:tblPr>
      <w:tblGrid>
        <w:gridCol w:w="4126"/>
        <w:gridCol w:w="4259"/>
      </w:tblGrid>
      <w:tr w:rsidR="00177B0E" w:rsidRPr="00952C4D" w:rsidTr="00177B0E">
        <w:trPr>
          <w:jc w:val="center"/>
        </w:trPr>
        <w:tc>
          <w:tcPr>
            <w:tcW w:w="4935"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СВОД ПРАВИЛ</w:t>
            </w:r>
          </w:p>
        </w:tc>
        <w:tc>
          <w:tcPr>
            <w:tcW w:w="4935"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right"/>
              <w:rPr>
                <w:rFonts w:ascii="Arial" w:eastAsia="Times New Roman" w:hAnsi="Arial" w:cs="Arial"/>
                <w:sz w:val="24"/>
                <w:szCs w:val="24"/>
                <w:lang w:eastAsia="ru-RU"/>
              </w:rPr>
            </w:pPr>
            <w:r w:rsidRPr="00952C4D">
              <w:rPr>
                <w:rFonts w:ascii="Arial" w:eastAsia="Times New Roman" w:hAnsi="Arial" w:cs="Arial"/>
                <w:sz w:val="24"/>
                <w:szCs w:val="24"/>
                <w:lang w:eastAsia="ru-RU"/>
              </w:rPr>
              <w:t>СП 53.13330.2011</w:t>
            </w:r>
          </w:p>
        </w:tc>
      </w:tr>
    </w:tbl>
    <w:p w:rsidR="00177B0E" w:rsidRPr="00952C4D" w:rsidRDefault="00177B0E" w:rsidP="00177B0E">
      <w:pPr>
        <w:shd w:val="clear" w:color="auto" w:fill="FFFFFF"/>
        <w:spacing w:after="0" w:line="240" w:lineRule="auto"/>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 </w:t>
      </w:r>
    </w:p>
    <w:p w:rsidR="00177B0E" w:rsidRPr="00952C4D" w:rsidRDefault="00177B0E" w:rsidP="00177B0E">
      <w:pPr>
        <w:shd w:val="clear" w:color="auto" w:fill="FFFFFF"/>
        <w:spacing w:after="0" w:line="360" w:lineRule="atLeast"/>
        <w:jc w:val="center"/>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ПЛАНИРОВКА И ЗАСТРОЙКА ТЕРРИТОРИЙ</w:t>
      </w:r>
      <w:r w:rsidRPr="00952C4D">
        <w:rPr>
          <w:rFonts w:ascii="Arial" w:eastAsia="Times New Roman" w:hAnsi="Arial" w:cs="Arial"/>
          <w:color w:val="3B3B3B"/>
          <w:sz w:val="21"/>
          <w:szCs w:val="21"/>
          <w:lang w:eastAsia="ru-RU"/>
        </w:rPr>
        <w:br/>
      </w:r>
      <w:r w:rsidRPr="00952C4D">
        <w:rPr>
          <w:rFonts w:ascii="Arial" w:eastAsia="Times New Roman" w:hAnsi="Arial" w:cs="Arial"/>
          <w:b/>
          <w:bCs/>
          <w:color w:val="3B3B3B"/>
          <w:sz w:val="21"/>
          <w:szCs w:val="21"/>
          <w:lang w:eastAsia="ru-RU"/>
        </w:rPr>
        <w:t>САДОВОДЧЕСКИХ (ДАЧНЫХ)</w:t>
      </w:r>
      <w:r w:rsidRPr="00952C4D">
        <w:rPr>
          <w:rFonts w:ascii="Arial" w:eastAsia="Times New Roman" w:hAnsi="Arial" w:cs="Arial"/>
          <w:color w:val="3B3B3B"/>
          <w:sz w:val="21"/>
          <w:szCs w:val="21"/>
          <w:lang w:eastAsia="ru-RU"/>
        </w:rPr>
        <w:br/>
      </w:r>
      <w:r w:rsidRPr="00952C4D">
        <w:rPr>
          <w:rFonts w:ascii="Arial" w:eastAsia="Times New Roman" w:hAnsi="Arial" w:cs="Arial"/>
          <w:b/>
          <w:bCs/>
          <w:color w:val="3B3B3B"/>
          <w:sz w:val="21"/>
          <w:szCs w:val="21"/>
          <w:lang w:eastAsia="ru-RU"/>
        </w:rPr>
        <w:t>ОБЪЕДИНЕНИЙ ГРАЖДАН,</w:t>
      </w:r>
      <w:r w:rsidRPr="00952C4D">
        <w:rPr>
          <w:rFonts w:ascii="Arial" w:eastAsia="Times New Roman" w:hAnsi="Arial" w:cs="Arial"/>
          <w:color w:val="3B3B3B"/>
          <w:sz w:val="21"/>
          <w:szCs w:val="21"/>
          <w:lang w:eastAsia="ru-RU"/>
        </w:rPr>
        <w:br/>
      </w:r>
      <w:r w:rsidRPr="00952C4D">
        <w:rPr>
          <w:rFonts w:ascii="Arial" w:eastAsia="Times New Roman" w:hAnsi="Arial" w:cs="Arial"/>
          <w:b/>
          <w:bCs/>
          <w:color w:val="3B3B3B"/>
          <w:sz w:val="21"/>
          <w:szCs w:val="21"/>
          <w:lang w:eastAsia="ru-RU"/>
        </w:rPr>
        <w:t>ЗДАНИЯ И СООРУЖЕНИЯ</w:t>
      </w:r>
    </w:p>
    <w:p w:rsidR="00177B0E" w:rsidRPr="00952C4D" w:rsidRDefault="00177B0E" w:rsidP="00177B0E">
      <w:pPr>
        <w:shd w:val="clear" w:color="auto" w:fill="FFFFFF"/>
        <w:spacing w:after="0" w:line="360" w:lineRule="atLeast"/>
        <w:jc w:val="center"/>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Актуализированная редакция</w:t>
      </w:r>
    </w:p>
    <w:p w:rsidR="00177B0E" w:rsidRPr="00952C4D" w:rsidRDefault="00177B0E" w:rsidP="00177B0E">
      <w:pPr>
        <w:shd w:val="clear" w:color="auto" w:fill="FFFFFF"/>
        <w:spacing w:after="0" w:line="360" w:lineRule="atLeast"/>
        <w:jc w:val="center"/>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СНиП 30-02-97*</w:t>
      </w:r>
    </w:p>
    <w:p w:rsidR="00177B0E" w:rsidRPr="00952C4D" w:rsidRDefault="00177B0E" w:rsidP="00177B0E">
      <w:pPr>
        <w:shd w:val="clear" w:color="auto" w:fill="FFFFFF"/>
        <w:spacing w:after="0" w:line="360" w:lineRule="atLeast"/>
        <w:jc w:val="center"/>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Москва 2011</w:t>
      </w:r>
    </w:p>
    <w:p w:rsidR="00177B0E" w:rsidRPr="00952C4D" w:rsidRDefault="00177B0E" w:rsidP="00177B0E">
      <w:pPr>
        <w:shd w:val="clear" w:color="auto" w:fill="FFFFFF"/>
        <w:spacing w:after="0" w:line="360" w:lineRule="atLeast"/>
        <w:jc w:val="center"/>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Предисловие</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Цели и принципы стандартизации в Российской Федерации установлены Федеральным законом от 27 декабря 2002 г. № </w:t>
      </w:r>
      <w:hyperlink r:id="rId5" w:tooltip="О техническом регулировании" w:history="1">
        <w:r w:rsidRPr="00952C4D">
          <w:rPr>
            <w:rFonts w:ascii="Arial" w:eastAsia="Times New Roman" w:hAnsi="Arial" w:cs="Arial"/>
            <w:color w:val="619F3C"/>
            <w:sz w:val="21"/>
            <w:szCs w:val="21"/>
            <w:lang w:eastAsia="ru-RU"/>
          </w:rPr>
          <w:t>184-ФЗ</w:t>
        </w:r>
      </w:hyperlink>
      <w:r w:rsidRPr="00952C4D">
        <w:rPr>
          <w:rFonts w:ascii="Arial" w:eastAsia="Times New Roman" w:hAnsi="Arial" w:cs="Arial"/>
          <w:color w:val="3B3B3B"/>
          <w:sz w:val="21"/>
          <w:szCs w:val="21"/>
          <w:lang w:eastAsia="ru-RU"/>
        </w:rPr>
        <w:t> «О техническом регулировании», а правила разработки - постановлением Правительства Российской Федерации от 19 ноября 2008 г. № </w:t>
      </w:r>
      <w:hyperlink r:id="rId6" w:tooltip="Правила разработки и утверждения сводов правил" w:history="1">
        <w:r w:rsidRPr="00952C4D">
          <w:rPr>
            <w:rFonts w:ascii="Arial" w:eastAsia="Times New Roman" w:hAnsi="Arial" w:cs="Arial"/>
            <w:color w:val="619F3C"/>
            <w:sz w:val="21"/>
            <w:szCs w:val="21"/>
            <w:lang w:eastAsia="ru-RU"/>
          </w:rPr>
          <w:t>858</w:t>
        </w:r>
      </w:hyperlink>
      <w:r w:rsidRPr="00952C4D">
        <w:rPr>
          <w:rFonts w:ascii="Arial" w:eastAsia="Times New Roman" w:hAnsi="Arial" w:cs="Arial"/>
          <w:color w:val="3B3B3B"/>
          <w:sz w:val="21"/>
          <w:szCs w:val="21"/>
          <w:lang w:eastAsia="ru-RU"/>
        </w:rPr>
        <w:t> «О порядке разработки и утверждения сводов правил»</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Сведения о своде правил</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1 ИСПОЛНИТЕЛИ: Российский институт градостроительства и инвестиционного развития - ОАО «</w:t>
      </w:r>
      <w:proofErr w:type="spellStart"/>
      <w:r w:rsidRPr="00952C4D">
        <w:rPr>
          <w:rFonts w:ascii="Arial" w:eastAsia="Times New Roman" w:hAnsi="Arial" w:cs="Arial"/>
          <w:color w:val="3B3B3B"/>
          <w:sz w:val="21"/>
          <w:szCs w:val="21"/>
          <w:lang w:eastAsia="ru-RU"/>
        </w:rPr>
        <w:t>Гипрогор</w:t>
      </w:r>
      <w:proofErr w:type="spellEnd"/>
      <w:r w:rsidRPr="00952C4D">
        <w:rPr>
          <w:rFonts w:ascii="Arial" w:eastAsia="Times New Roman" w:hAnsi="Arial" w:cs="Arial"/>
          <w:color w:val="3B3B3B"/>
          <w:sz w:val="21"/>
          <w:szCs w:val="21"/>
          <w:lang w:eastAsia="ru-RU"/>
        </w:rPr>
        <w:t>» и ОАО «</w:t>
      </w:r>
      <w:proofErr w:type="spellStart"/>
      <w:r w:rsidRPr="00952C4D">
        <w:rPr>
          <w:rFonts w:ascii="Arial" w:eastAsia="Times New Roman" w:hAnsi="Arial" w:cs="Arial"/>
          <w:color w:val="3B3B3B"/>
          <w:sz w:val="21"/>
          <w:szCs w:val="21"/>
          <w:lang w:eastAsia="ru-RU"/>
        </w:rPr>
        <w:t>ЦИИЭПгражданстрой</w:t>
      </w:r>
      <w:proofErr w:type="spellEnd"/>
      <w:r w:rsidRPr="00952C4D">
        <w:rPr>
          <w:rFonts w:ascii="Arial" w:eastAsia="Times New Roman" w:hAnsi="Arial" w:cs="Arial"/>
          <w:color w:val="3B3B3B"/>
          <w:sz w:val="21"/>
          <w:szCs w:val="21"/>
          <w:lang w:eastAsia="ru-RU"/>
        </w:rPr>
        <w:t>»</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2 ВНЕСЕН Техническим комитетом по стандартизации ТК 465 «Строительство»</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3 ПОДГОТОВЛЕН К УТВЕРЖДЕНИЮ ФГУ «ФЦС»</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4 УТВЕРЖДЕН приказом Министерства регионального развития Российской Федерации (</w:t>
      </w:r>
      <w:proofErr w:type="spellStart"/>
      <w:r w:rsidRPr="00952C4D">
        <w:rPr>
          <w:rFonts w:ascii="Arial" w:eastAsia="Times New Roman" w:hAnsi="Arial" w:cs="Arial"/>
          <w:color w:val="3B3B3B"/>
          <w:sz w:val="21"/>
          <w:szCs w:val="21"/>
          <w:lang w:eastAsia="ru-RU"/>
        </w:rPr>
        <w:t>Минрегион</w:t>
      </w:r>
      <w:proofErr w:type="spellEnd"/>
      <w:r w:rsidRPr="00952C4D">
        <w:rPr>
          <w:rFonts w:ascii="Arial" w:eastAsia="Times New Roman" w:hAnsi="Arial" w:cs="Arial"/>
          <w:color w:val="3B3B3B"/>
          <w:sz w:val="21"/>
          <w:szCs w:val="21"/>
          <w:lang w:eastAsia="ru-RU"/>
        </w:rPr>
        <w:t xml:space="preserve"> России) от 30 декабря 2010 г. № 849 и введен в действие с 20 мая 2011 г.</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5 ЗАРЕГИСТРИРОВАН Федеральным агентством по техническому регулированию и метрологии (</w:t>
      </w:r>
      <w:proofErr w:type="spellStart"/>
      <w:r w:rsidRPr="00952C4D">
        <w:rPr>
          <w:rFonts w:ascii="Arial" w:eastAsia="Times New Roman" w:hAnsi="Arial" w:cs="Arial"/>
          <w:color w:val="3B3B3B"/>
          <w:sz w:val="21"/>
          <w:szCs w:val="21"/>
          <w:lang w:eastAsia="ru-RU"/>
        </w:rPr>
        <w:t>Росстандарт</w:t>
      </w:r>
      <w:proofErr w:type="spellEnd"/>
      <w:r w:rsidRPr="00952C4D">
        <w:rPr>
          <w:rFonts w:ascii="Arial" w:eastAsia="Times New Roman" w:hAnsi="Arial" w:cs="Arial"/>
          <w:color w:val="3B3B3B"/>
          <w:sz w:val="21"/>
          <w:szCs w:val="21"/>
          <w:lang w:eastAsia="ru-RU"/>
        </w:rPr>
        <w:t>). Пересмотр СП 53.13330.2010.</w:t>
      </w:r>
    </w:p>
    <w:p w:rsidR="00177B0E"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w:t>
      </w:r>
      <w:proofErr w:type="spellStart"/>
      <w:r w:rsidRPr="00952C4D">
        <w:rPr>
          <w:rFonts w:ascii="Arial" w:eastAsia="Times New Roman" w:hAnsi="Arial" w:cs="Arial"/>
          <w:color w:val="3B3B3B"/>
          <w:sz w:val="21"/>
          <w:szCs w:val="21"/>
          <w:lang w:eastAsia="ru-RU"/>
        </w:rPr>
        <w:t>Минрегион</w:t>
      </w:r>
      <w:proofErr w:type="spellEnd"/>
      <w:r w:rsidRPr="00952C4D">
        <w:rPr>
          <w:rFonts w:ascii="Arial" w:eastAsia="Times New Roman" w:hAnsi="Arial" w:cs="Arial"/>
          <w:color w:val="3B3B3B"/>
          <w:sz w:val="21"/>
          <w:szCs w:val="21"/>
          <w:lang w:eastAsia="ru-RU"/>
        </w:rPr>
        <w:t xml:space="preserve"> России) в сети Интернет</w:t>
      </w:r>
    </w:p>
    <w:p w:rsidR="00BF51F3" w:rsidRDefault="00BF51F3" w:rsidP="00177B0E">
      <w:pPr>
        <w:shd w:val="clear" w:color="auto" w:fill="FFFFFF"/>
        <w:spacing w:before="90" w:after="90" w:line="360" w:lineRule="atLeast"/>
        <w:rPr>
          <w:rFonts w:ascii="Arial" w:eastAsia="Times New Roman" w:hAnsi="Arial" w:cs="Arial"/>
          <w:color w:val="3B3B3B"/>
          <w:sz w:val="21"/>
          <w:szCs w:val="21"/>
          <w:lang w:eastAsia="ru-RU"/>
        </w:rPr>
      </w:pPr>
    </w:p>
    <w:p w:rsidR="00BF51F3" w:rsidRPr="00952C4D" w:rsidRDefault="00BF51F3" w:rsidP="00177B0E">
      <w:pPr>
        <w:shd w:val="clear" w:color="auto" w:fill="FFFFFF"/>
        <w:spacing w:before="90" w:after="90" w:line="360" w:lineRule="atLeast"/>
        <w:rPr>
          <w:rFonts w:ascii="Arial" w:eastAsia="Times New Roman" w:hAnsi="Arial" w:cs="Arial"/>
          <w:color w:val="3B3B3B"/>
          <w:sz w:val="21"/>
          <w:szCs w:val="21"/>
          <w:lang w:eastAsia="ru-RU"/>
        </w:rPr>
      </w:pPr>
      <w:bookmarkStart w:id="0" w:name="_GoBack"/>
      <w:bookmarkEnd w:id="0"/>
    </w:p>
    <w:p w:rsidR="00177B0E" w:rsidRPr="00952C4D" w:rsidRDefault="00177B0E" w:rsidP="00177B0E">
      <w:pPr>
        <w:shd w:val="clear" w:color="auto" w:fill="FFFFFF"/>
        <w:spacing w:after="150" w:line="360" w:lineRule="atLeast"/>
        <w:jc w:val="center"/>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lastRenderedPageBreak/>
        <w:t>Содержание</w:t>
      </w:r>
    </w:p>
    <w:tbl>
      <w:tblPr>
        <w:tblW w:w="8385" w:type="dxa"/>
        <w:jc w:val="center"/>
        <w:tblCellMar>
          <w:left w:w="0" w:type="dxa"/>
          <w:right w:w="0" w:type="dxa"/>
        </w:tblCellMar>
        <w:tblLook w:val="04A0" w:firstRow="1" w:lastRow="0" w:firstColumn="1" w:lastColumn="0" w:noHBand="0" w:noVBand="1"/>
      </w:tblPr>
      <w:tblGrid>
        <w:gridCol w:w="8385"/>
      </w:tblGrid>
      <w:tr w:rsidR="00177B0E" w:rsidRPr="00952C4D" w:rsidTr="00177B0E">
        <w:trPr>
          <w:jc w:val="center"/>
        </w:trPr>
        <w:tc>
          <w:tcPr>
            <w:tcW w:w="8475"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255FB4" w:rsidP="00177B0E">
            <w:pPr>
              <w:pStyle w:val="a3"/>
              <w:numPr>
                <w:ilvl w:val="0"/>
                <w:numId w:val="1"/>
              </w:numPr>
              <w:spacing w:after="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Область применения</w:t>
            </w:r>
          </w:p>
          <w:p w:rsidR="00255FB4" w:rsidRPr="00952C4D" w:rsidRDefault="00255FB4" w:rsidP="00177B0E">
            <w:pPr>
              <w:pStyle w:val="a3"/>
              <w:numPr>
                <w:ilvl w:val="0"/>
                <w:numId w:val="1"/>
              </w:numPr>
              <w:spacing w:after="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Нормативные ссылки</w:t>
            </w:r>
          </w:p>
          <w:p w:rsidR="00255FB4" w:rsidRPr="00952C4D" w:rsidRDefault="00255FB4" w:rsidP="00177B0E">
            <w:pPr>
              <w:pStyle w:val="a3"/>
              <w:numPr>
                <w:ilvl w:val="0"/>
                <w:numId w:val="1"/>
              </w:numPr>
              <w:spacing w:after="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Термины и определения</w:t>
            </w:r>
          </w:p>
          <w:p w:rsidR="00255FB4" w:rsidRPr="00952C4D" w:rsidRDefault="00255FB4" w:rsidP="00177B0E">
            <w:pPr>
              <w:pStyle w:val="a3"/>
              <w:numPr>
                <w:ilvl w:val="0"/>
                <w:numId w:val="1"/>
              </w:numPr>
              <w:spacing w:after="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Общие положения</w:t>
            </w:r>
          </w:p>
          <w:p w:rsidR="00255FB4" w:rsidRPr="00952C4D" w:rsidRDefault="00255FB4" w:rsidP="00177B0E">
            <w:pPr>
              <w:pStyle w:val="a3"/>
              <w:numPr>
                <w:ilvl w:val="0"/>
                <w:numId w:val="1"/>
              </w:numPr>
              <w:spacing w:after="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Планировка и застройка территории садоводческого, дачного объединения</w:t>
            </w:r>
          </w:p>
          <w:p w:rsidR="00255FB4" w:rsidRPr="00952C4D" w:rsidRDefault="00255FB4" w:rsidP="00177B0E">
            <w:pPr>
              <w:pStyle w:val="a3"/>
              <w:numPr>
                <w:ilvl w:val="0"/>
                <w:numId w:val="1"/>
              </w:numPr>
              <w:spacing w:after="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Планировка и застройка садовых, дачных участков</w:t>
            </w:r>
          </w:p>
          <w:p w:rsidR="00255FB4" w:rsidRPr="00952C4D" w:rsidRDefault="00255FB4" w:rsidP="00177B0E">
            <w:pPr>
              <w:pStyle w:val="a3"/>
              <w:numPr>
                <w:ilvl w:val="0"/>
                <w:numId w:val="1"/>
              </w:numPr>
              <w:spacing w:after="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Объемно-планировочные и конструктивные решения зданий и сооружений</w:t>
            </w:r>
          </w:p>
          <w:p w:rsidR="00255FB4" w:rsidRPr="00952C4D" w:rsidRDefault="00255FB4" w:rsidP="00177B0E">
            <w:pPr>
              <w:pStyle w:val="a3"/>
              <w:numPr>
                <w:ilvl w:val="0"/>
                <w:numId w:val="1"/>
              </w:numPr>
              <w:spacing w:after="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Инженерное обустройство</w:t>
            </w:r>
          </w:p>
          <w:p w:rsidR="00255FB4" w:rsidRPr="00952C4D" w:rsidRDefault="00255FB4" w:rsidP="00255FB4">
            <w:pPr>
              <w:pStyle w:val="a3"/>
              <w:spacing w:after="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Приложение А (обязательное) Перечень нормативных докуме</w:t>
            </w:r>
            <w:r w:rsidR="00591E11" w:rsidRPr="00952C4D">
              <w:rPr>
                <w:rFonts w:ascii="Arial" w:eastAsia="Times New Roman" w:hAnsi="Arial" w:cs="Arial"/>
                <w:sz w:val="24"/>
                <w:szCs w:val="24"/>
                <w:lang w:eastAsia="ru-RU"/>
              </w:rPr>
              <w:t>нтов</w:t>
            </w:r>
          </w:p>
          <w:p w:rsidR="00591E11" w:rsidRPr="00952C4D" w:rsidRDefault="00591E11" w:rsidP="00255FB4">
            <w:pPr>
              <w:pStyle w:val="a3"/>
              <w:spacing w:after="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Приложение Б (справочное) Термины и определения</w:t>
            </w:r>
          </w:p>
          <w:p w:rsidR="00177B0E" w:rsidRPr="00952C4D" w:rsidRDefault="00591E11" w:rsidP="00591E11">
            <w:pPr>
              <w:pStyle w:val="a3"/>
              <w:spacing w:after="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Библиография</w:t>
            </w:r>
            <w:r w:rsidR="00177B0E" w:rsidRPr="00952C4D">
              <w:rPr>
                <w:rFonts w:ascii="Arial" w:eastAsia="Times New Roman" w:hAnsi="Arial" w:cs="Arial"/>
                <w:sz w:val="24"/>
                <w:szCs w:val="24"/>
                <w:lang w:eastAsia="ru-RU"/>
              </w:rPr>
              <w:t> </w:t>
            </w:r>
          </w:p>
        </w:tc>
      </w:tr>
    </w:tbl>
    <w:p w:rsidR="00177B0E" w:rsidRPr="00952C4D" w:rsidRDefault="00177B0E" w:rsidP="00177B0E">
      <w:pPr>
        <w:shd w:val="clear" w:color="auto" w:fill="FFFFFF"/>
        <w:spacing w:after="0" w:line="240" w:lineRule="auto"/>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 </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СП 53.13330.2011</w:t>
      </w:r>
    </w:p>
    <w:p w:rsidR="00177B0E" w:rsidRPr="00952C4D" w:rsidRDefault="00177B0E" w:rsidP="00177B0E">
      <w:pPr>
        <w:shd w:val="clear" w:color="auto" w:fill="FFFFFF"/>
        <w:spacing w:after="150" w:line="360" w:lineRule="atLeast"/>
        <w:jc w:val="center"/>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СВОД ПРАВИЛ</w:t>
      </w:r>
    </w:p>
    <w:tbl>
      <w:tblPr>
        <w:tblW w:w="5000" w:type="pct"/>
        <w:jc w:val="center"/>
        <w:tblCellMar>
          <w:left w:w="0" w:type="dxa"/>
          <w:right w:w="0" w:type="dxa"/>
        </w:tblCellMar>
        <w:tblLook w:val="04A0" w:firstRow="1" w:lastRow="0" w:firstColumn="1" w:lastColumn="0" w:noHBand="0" w:noVBand="1"/>
      </w:tblPr>
      <w:tblGrid>
        <w:gridCol w:w="9349"/>
      </w:tblGrid>
      <w:tr w:rsidR="00177B0E" w:rsidRPr="00952C4D" w:rsidTr="00177B0E">
        <w:trPr>
          <w:jc w:val="center"/>
        </w:trPr>
        <w:tc>
          <w:tcPr>
            <w:tcW w:w="8205"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after="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ПЛАНИРОВАНИЕ И ЗАСТРОЙКА ТЕРРИТОРИЙ</w:t>
            </w:r>
            <w:r w:rsidRPr="00952C4D">
              <w:rPr>
                <w:rFonts w:ascii="Arial" w:eastAsia="Times New Roman" w:hAnsi="Arial" w:cs="Arial"/>
                <w:sz w:val="24"/>
                <w:szCs w:val="24"/>
                <w:lang w:eastAsia="ru-RU"/>
              </w:rPr>
              <w:br/>
              <w:t>САДОВОДЧЕСКИХ (ДАЧНЫХ) ОБЪЕДИНЕНИЙ ГРАЖДАН,</w:t>
            </w:r>
            <w:r w:rsidRPr="00952C4D">
              <w:rPr>
                <w:rFonts w:ascii="Arial" w:eastAsia="Times New Roman" w:hAnsi="Arial" w:cs="Arial"/>
                <w:sz w:val="24"/>
                <w:szCs w:val="24"/>
                <w:lang w:eastAsia="ru-RU"/>
              </w:rPr>
              <w:br/>
              <w:t>ЗДАНИЯ И СООРУЖЕНИЯ</w:t>
            </w:r>
          </w:p>
          <w:p w:rsidR="00177B0E" w:rsidRPr="00952C4D" w:rsidRDefault="00177B0E" w:rsidP="00177B0E">
            <w:pPr>
              <w:spacing w:after="0" w:line="360" w:lineRule="atLeast"/>
              <w:jc w:val="center"/>
              <w:rPr>
                <w:rFonts w:ascii="Arial" w:eastAsia="Times New Roman" w:hAnsi="Arial" w:cs="Arial"/>
                <w:sz w:val="24"/>
                <w:szCs w:val="24"/>
                <w:lang w:eastAsia="ru-RU"/>
              </w:rPr>
            </w:pPr>
          </w:p>
        </w:tc>
      </w:tr>
    </w:tbl>
    <w:p w:rsidR="00177B0E" w:rsidRPr="00952C4D" w:rsidRDefault="00177B0E" w:rsidP="00177B0E">
      <w:pPr>
        <w:shd w:val="clear" w:color="auto" w:fill="FFFFFF"/>
        <w:spacing w:after="0" w:line="240" w:lineRule="auto"/>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val="en-US" w:eastAsia="ru-RU"/>
        </w:rPr>
        <w:t> </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Дата введения 2011-05-20</w:t>
      </w:r>
    </w:p>
    <w:p w:rsidR="00177B0E" w:rsidRPr="00952C4D" w:rsidRDefault="00177B0E" w:rsidP="00177B0E">
      <w:pPr>
        <w:shd w:val="clear" w:color="auto" w:fill="FFFFFF"/>
        <w:spacing w:after="0" w:line="240" w:lineRule="auto"/>
        <w:outlineLvl w:val="0"/>
        <w:rPr>
          <w:rFonts w:ascii="Arial" w:eastAsia="Times New Roman" w:hAnsi="Arial" w:cs="Arial"/>
          <w:b/>
          <w:bCs/>
          <w:color w:val="3B3B3B"/>
          <w:kern w:val="36"/>
          <w:sz w:val="29"/>
          <w:szCs w:val="29"/>
          <w:lang w:eastAsia="ru-RU"/>
        </w:rPr>
      </w:pPr>
      <w:r w:rsidRPr="00952C4D">
        <w:rPr>
          <w:rFonts w:ascii="Arial" w:eastAsia="Times New Roman" w:hAnsi="Arial" w:cs="Arial"/>
          <w:b/>
          <w:bCs/>
          <w:color w:val="3B3B3B"/>
          <w:kern w:val="36"/>
          <w:sz w:val="29"/>
          <w:szCs w:val="29"/>
          <w:lang w:eastAsia="ru-RU"/>
        </w:rPr>
        <w:t>1 Область применения</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1.1 Настоящий свод правил распространяется на проектирование застройки территорий садоводческих, дачных некоммерческих объединений граждан (далее - садоводческое, дачное объединение), находящихся на них зданий и сооружений, а также служит основой разработки территориальных строительных норм субъектов Российской Федерации.</w:t>
      </w:r>
    </w:p>
    <w:p w:rsidR="00177B0E" w:rsidRPr="00952C4D" w:rsidRDefault="00177B0E" w:rsidP="00177B0E">
      <w:pPr>
        <w:shd w:val="clear" w:color="auto" w:fill="FFFFFF"/>
        <w:spacing w:after="0" w:line="240" w:lineRule="auto"/>
        <w:outlineLvl w:val="0"/>
        <w:rPr>
          <w:rFonts w:ascii="Arial" w:eastAsia="Times New Roman" w:hAnsi="Arial" w:cs="Arial"/>
          <w:b/>
          <w:bCs/>
          <w:color w:val="3B3B3B"/>
          <w:kern w:val="36"/>
          <w:sz w:val="29"/>
          <w:szCs w:val="29"/>
          <w:lang w:eastAsia="ru-RU"/>
        </w:rPr>
      </w:pPr>
      <w:r w:rsidRPr="00952C4D">
        <w:rPr>
          <w:rFonts w:ascii="Arial" w:eastAsia="Times New Roman" w:hAnsi="Arial" w:cs="Arial"/>
          <w:b/>
          <w:bCs/>
          <w:color w:val="3B3B3B"/>
          <w:kern w:val="36"/>
          <w:sz w:val="29"/>
          <w:szCs w:val="29"/>
          <w:lang w:eastAsia="ru-RU"/>
        </w:rPr>
        <w:t>2 Нормативные ссылки</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 xml:space="preserve">2.1 Перечень нормативных документов, на которые даны ссылки, приведен </w:t>
      </w:r>
      <w:proofErr w:type="gramStart"/>
      <w:r w:rsidRPr="00952C4D">
        <w:rPr>
          <w:rFonts w:ascii="Arial" w:eastAsia="Times New Roman" w:hAnsi="Arial" w:cs="Arial"/>
          <w:color w:val="3B3B3B"/>
          <w:sz w:val="21"/>
          <w:szCs w:val="21"/>
          <w:lang w:eastAsia="ru-RU"/>
        </w:rPr>
        <w:t>в </w:t>
      </w:r>
      <w:r w:rsidR="00591E11" w:rsidRPr="00952C4D">
        <w:rPr>
          <w:rFonts w:ascii="Arial" w:eastAsia="Times New Roman" w:hAnsi="Arial" w:cs="Arial"/>
          <w:color w:val="3B3B3B"/>
          <w:sz w:val="21"/>
          <w:szCs w:val="21"/>
          <w:lang w:eastAsia="ru-RU"/>
        </w:rPr>
        <w:t xml:space="preserve"> приложении</w:t>
      </w:r>
      <w:proofErr w:type="gramEnd"/>
      <w:r w:rsidR="00591E11" w:rsidRPr="00952C4D">
        <w:rPr>
          <w:rFonts w:ascii="Arial" w:eastAsia="Times New Roman" w:hAnsi="Arial" w:cs="Arial"/>
          <w:color w:val="3B3B3B"/>
          <w:sz w:val="21"/>
          <w:szCs w:val="21"/>
          <w:lang w:eastAsia="ru-RU"/>
        </w:rPr>
        <w:t xml:space="preserve"> А.</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 xml:space="preserve">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w:t>
      </w:r>
      <w:r w:rsidRPr="00952C4D">
        <w:rPr>
          <w:rFonts w:ascii="Arial" w:eastAsia="Times New Roman" w:hAnsi="Arial" w:cs="Arial"/>
          <w:color w:val="3B3B3B"/>
          <w:sz w:val="21"/>
          <w:szCs w:val="21"/>
          <w:lang w:eastAsia="ru-RU"/>
        </w:rPr>
        <w:lastRenderedPageBreak/>
        <w:t>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177B0E" w:rsidRPr="00952C4D" w:rsidRDefault="00177B0E" w:rsidP="00177B0E">
      <w:pPr>
        <w:shd w:val="clear" w:color="auto" w:fill="FFFFFF"/>
        <w:spacing w:after="0" w:line="240" w:lineRule="auto"/>
        <w:outlineLvl w:val="0"/>
        <w:rPr>
          <w:rFonts w:ascii="Arial" w:eastAsia="Times New Roman" w:hAnsi="Arial" w:cs="Arial"/>
          <w:b/>
          <w:bCs/>
          <w:color w:val="3B3B3B"/>
          <w:kern w:val="36"/>
          <w:sz w:val="29"/>
          <w:szCs w:val="29"/>
          <w:lang w:eastAsia="ru-RU"/>
        </w:rPr>
      </w:pPr>
      <w:r w:rsidRPr="00952C4D">
        <w:rPr>
          <w:rFonts w:ascii="Arial" w:eastAsia="Times New Roman" w:hAnsi="Arial" w:cs="Arial"/>
          <w:b/>
          <w:bCs/>
          <w:color w:val="3B3B3B"/>
          <w:kern w:val="36"/>
          <w:sz w:val="29"/>
          <w:szCs w:val="29"/>
          <w:lang w:eastAsia="ru-RU"/>
        </w:rPr>
        <w:t>3 Термины и определения</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3.1 Термины, применяемые в настоящем нормативном документе, и их определения приведены в </w:t>
      </w:r>
      <w:r w:rsidR="00591E11" w:rsidRPr="00952C4D">
        <w:rPr>
          <w:rFonts w:ascii="Arial" w:eastAsia="Times New Roman" w:hAnsi="Arial" w:cs="Arial"/>
          <w:color w:val="3B3B3B"/>
          <w:sz w:val="21"/>
          <w:szCs w:val="21"/>
          <w:lang w:eastAsia="ru-RU"/>
        </w:rPr>
        <w:t>приложении Б</w:t>
      </w:r>
      <w:r w:rsidRPr="00952C4D">
        <w:rPr>
          <w:rFonts w:ascii="Arial" w:eastAsia="Times New Roman" w:hAnsi="Arial" w:cs="Arial"/>
          <w:color w:val="3B3B3B"/>
          <w:sz w:val="21"/>
          <w:szCs w:val="21"/>
          <w:lang w:eastAsia="ru-RU"/>
        </w:rPr>
        <w:t>.</w:t>
      </w:r>
    </w:p>
    <w:p w:rsidR="00177B0E" w:rsidRPr="00952C4D" w:rsidRDefault="00177B0E" w:rsidP="00177B0E">
      <w:pPr>
        <w:shd w:val="clear" w:color="auto" w:fill="FFFFFF"/>
        <w:spacing w:after="0" w:line="240" w:lineRule="auto"/>
        <w:outlineLvl w:val="0"/>
        <w:rPr>
          <w:rFonts w:ascii="Arial" w:eastAsia="Times New Roman" w:hAnsi="Arial" w:cs="Arial"/>
          <w:b/>
          <w:bCs/>
          <w:color w:val="3B3B3B"/>
          <w:kern w:val="36"/>
          <w:sz w:val="29"/>
          <w:szCs w:val="29"/>
          <w:lang w:eastAsia="ru-RU"/>
        </w:rPr>
      </w:pPr>
      <w:r w:rsidRPr="00952C4D">
        <w:rPr>
          <w:rFonts w:ascii="Arial" w:eastAsia="Times New Roman" w:hAnsi="Arial" w:cs="Arial"/>
          <w:b/>
          <w:bCs/>
          <w:color w:val="3B3B3B"/>
          <w:kern w:val="36"/>
          <w:sz w:val="29"/>
          <w:szCs w:val="29"/>
          <w:lang w:eastAsia="ru-RU"/>
        </w:rPr>
        <w:t>4 Общие положения</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4.1 Организация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 являющимся юридическим документом, обязательным для исполнения всеми участниками освоения и застройки территории садоводческого, дачного объединения. Все изменения и отклонения от проекта должны быть утверждены органом местного самоуправления.</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Проект может разрабатываться как для одной, так и для группы (массива) рядом расположенных территорий садоводческих, дачных объединений.</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Для группы (массива) территорий садоводческих, дачных объединений, занимающих площадь более 50 га, разрабатывается концепция генерального плана, предшествующая разработке проектов планировки территорий садоводческих, дачных объединений и содержащая основные положения по развитию: внешних связей с системой поселений; транспортных коммуникаций; социальной и инженерной инфраструктуры.</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Перечень основных документов, необходимых для разработки, согласования и утверждения проектной документации по планировке и застройке территорий садоводческих, дачных объединений, приведен в своде правил [</w:t>
      </w:r>
      <w:hyperlink r:id="rId7" w:anchor="%D0%B11" w:tooltip="[1]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history="1">
        <w:r w:rsidRPr="00952C4D">
          <w:rPr>
            <w:rFonts w:ascii="Arial" w:eastAsia="Times New Roman" w:hAnsi="Arial" w:cs="Arial"/>
            <w:color w:val="619F3C"/>
            <w:sz w:val="21"/>
            <w:szCs w:val="21"/>
            <w:lang w:eastAsia="ru-RU"/>
          </w:rPr>
          <w:t>1</w:t>
        </w:r>
      </w:hyperlink>
      <w:r w:rsidRPr="00952C4D">
        <w:rPr>
          <w:rFonts w:ascii="Arial" w:eastAsia="Times New Roman" w:hAnsi="Arial" w:cs="Arial"/>
          <w:color w:val="3B3B3B"/>
          <w:sz w:val="21"/>
          <w:szCs w:val="21"/>
          <w:lang w:eastAsia="ru-RU"/>
        </w:rPr>
        <w:t>].</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4.2 При установлении границ территории садоводческого, дачного объединения должны соблюдаться требования охраны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4.3 Размещение территорий садоводческих, дачных объединений запрещается в санитарно-защитных зонах промышленных предприятия и других охранных зонах с особыми условиями использования территории.</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4.4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4.5 Территория садоводческого, дачного объединения должна отстоять от крайней нити нефтепродуктопровода на расстояние, не менее указанного в </w:t>
      </w:r>
      <w:r w:rsidR="00591E11" w:rsidRPr="00952C4D">
        <w:rPr>
          <w:rFonts w:ascii="Arial" w:eastAsia="Times New Roman" w:hAnsi="Arial" w:cs="Arial"/>
          <w:color w:val="3B3B3B"/>
          <w:sz w:val="21"/>
          <w:szCs w:val="21"/>
          <w:lang w:eastAsia="ru-RU"/>
        </w:rPr>
        <w:t>СНиП 2.05.13.</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lastRenderedPageBreak/>
        <w:t xml:space="preserve">4.6 Запрещается размещение территорий садоводческих, дачных объединений на землях, расположенных под линиями высоковольтных передач 35 </w:t>
      </w:r>
      <w:proofErr w:type="spellStart"/>
      <w:r w:rsidRPr="00952C4D">
        <w:rPr>
          <w:rFonts w:ascii="Arial" w:eastAsia="Times New Roman" w:hAnsi="Arial" w:cs="Arial"/>
          <w:color w:val="3B3B3B"/>
          <w:sz w:val="21"/>
          <w:szCs w:val="21"/>
          <w:lang w:eastAsia="ru-RU"/>
        </w:rPr>
        <w:t>кВА</w:t>
      </w:r>
      <w:proofErr w:type="spellEnd"/>
      <w:r w:rsidRPr="00952C4D">
        <w:rPr>
          <w:rFonts w:ascii="Arial" w:eastAsia="Times New Roman" w:hAnsi="Arial" w:cs="Arial"/>
          <w:color w:val="3B3B3B"/>
          <w:sz w:val="21"/>
          <w:szCs w:val="21"/>
          <w:lang w:eastAsia="ru-RU"/>
        </w:rPr>
        <w:t xml:space="preserve"> и выше, а также с пересечением этих земель магистральными газо- и нефтепроводами. Расстояние по горизонтали от крайних проводов высоковольтных линий (при наибольшем их отклонении) до границы территорий садоводческого объединения принимается в соответствии с правилами [</w:t>
      </w:r>
      <w:hyperlink r:id="rId8" w:anchor="%D0%B12" w:tooltip="[2] ПУЭ Правила устройства электроустановок" w:history="1">
        <w:r w:rsidRPr="00952C4D">
          <w:rPr>
            <w:rFonts w:ascii="Arial" w:eastAsia="Times New Roman" w:hAnsi="Arial" w:cs="Arial"/>
            <w:color w:val="619F3C"/>
            <w:sz w:val="21"/>
            <w:szCs w:val="21"/>
            <w:lang w:eastAsia="ru-RU"/>
          </w:rPr>
          <w:t>2</w:t>
        </w:r>
      </w:hyperlink>
      <w:r w:rsidRPr="00952C4D">
        <w:rPr>
          <w:rFonts w:ascii="Arial" w:eastAsia="Times New Roman" w:hAnsi="Arial" w:cs="Arial"/>
          <w:color w:val="3B3B3B"/>
          <w:sz w:val="21"/>
          <w:szCs w:val="21"/>
          <w:lang w:eastAsia="ru-RU"/>
        </w:rPr>
        <w:t>].</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4.7 Расстояние от застройки на территории садоводческих объединений до лесных массивов должно быть не менее 15 м.</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4.8 При пересечении территории садоводческого объединения инженерными коммуникациями надлежит предусматривать санитарно-защитные зоны в соответствии с </w:t>
      </w:r>
      <w:r w:rsidR="00591E11" w:rsidRPr="00952C4D">
        <w:rPr>
          <w:rFonts w:ascii="Arial" w:eastAsia="Times New Roman" w:hAnsi="Arial" w:cs="Arial"/>
          <w:color w:val="3B3B3B"/>
          <w:sz w:val="21"/>
          <w:szCs w:val="21"/>
          <w:lang w:eastAsia="ru-RU"/>
        </w:rPr>
        <w:t>СанПиН 2.2.1/2.1.1.1200</w:t>
      </w:r>
      <w:r w:rsidRPr="00952C4D">
        <w:rPr>
          <w:rFonts w:ascii="Arial" w:eastAsia="Times New Roman" w:hAnsi="Arial" w:cs="Arial"/>
          <w:color w:val="3B3B3B"/>
          <w:sz w:val="21"/>
          <w:szCs w:val="21"/>
          <w:lang w:eastAsia="ru-RU"/>
        </w:rPr>
        <w:t>.</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4.9 Территории садоводческих, дачных объединений в зависимости от числа земельных участков, расположенных на них, подразделяются на:</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малые - до 100;</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средние - от 101 до 300;</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крупные - 301 и более участков.</w:t>
      </w:r>
    </w:p>
    <w:p w:rsidR="00177B0E" w:rsidRPr="00952C4D" w:rsidRDefault="00177B0E" w:rsidP="00177B0E">
      <w:pPr>
        <w:shd w:val="clear" w:color="auto" w:fill="FFFFFF"/>
        <w:spacing w:after="0" w:line="240" w:lineRule="auto"/>
        <w:outlineLvl w:val="0"/>
        <w:rPr>
          <w:rFonts w:ascii="Arial" w:eastAsia="Times New Roman" w:hAnsi="Arial" w:cs="Arial"/>
          <w:b/>
          <w:bCs/>
          <w:color w:val="3B3B3B"/>
          <w:kern w:val="36"/>
          <w:sz w:val="29"/>
          <w:szCs w:val="29"/>
          <w:lang w:eastAsia="ru-RU"/>
        </w:rPr>
      </w:pPr>
      <w:r w:rsidRPr="00952C4D">
        <w:rPr>
          <w:rFonts w:ascii="Arial" w:eastAsia="Times New Roman" w:hAnsi="Arial" w:cs="Arial"/>
          <w:b/>
          <w:bCs/>
          <w:color w:val="3B3B3B"/>
          <w:kern w:val="36"/>
          <w:sz w:val="29"/>
          <w:szCs w:val="29"/>
          <w:lang w:eastAsia="ru-RU"/>
        </w:rPr>
        <w:t>5 Планировка и застройка территории садоводческого, дачного объединения</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5.1 По границе территории садоводческого, дачного объединения предусматривается ограждение. Допускается не предусматривать ограждение при наличии естественных границ (река, бровка оврага и др.).</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Ограждение территории садоводческого, дачного объединения не следует заменять рвами, канавами, земляными валами.</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5.2 Территория садоводческого, дачного объединения должна быть соединена подъездной дорогой с автомобильной дорогой общего пользования.</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5.3 На территорию садоводческого, дачного объединения с числом садовых участков до 50 следует предусматривать один въезд, более 50 - не менее двух въездов. Ширина ворот должна быть не менее 4,5 м, калитки - не менее 1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5.4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Минимально необходимый состав зданий, сооружений и размеры площадок общего пользования приведены в таблице 1.</w:t>
      </w:r>
    </w:p>
    <w:p w:rsidR="00177B0E" w:rsidRPr="00952C4D" w:rsidRDefault="00177B0E" w:rsidP="00177B0E">
      <w:pPr>
        <w:shd w:val="clear" w:color="auto" w:fill="FFFFFF"/>
        <w:spacing w:after="15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lastRenderedPageBreak/>
        <w:t>Таблица 1 - </w:t>
      </w:r>
      <w:r w:rsidRPr="00952C4D">
        <w:rPr>
          <w:rFonts w:ascii="Arial" w:eastAsia="Times New Roman" w:hAnsi="Arial" w:cs="Arial"/>
          <w:b/>
          <w:bCs/>
          <w:color w:val="3B3B3B"/>
          <w:sz w:val="21"/>
          <w:szCs w:val="21"/>
          <w:lang w:eastAsia="ru-RU"/>
        </w:rPr>
        <w:t>Минимально необходимый состав зданий, сооружений и размеры площадок общего пользования</w:t>
      </w:r>
    </w:p>
    <w:tbl>
      <w:tblPr>
        <w:tblW w:w="5000" w:type="pct"/>
        <w:jc w:val="center"/>
        <w:tblCellMar>
          <w:left w:w="0" w:type="dxa"/>
          <w:right w:w="0" w:type="dxa"/>
        </w:tblCellMar>
        <w:tblLook w:val="04A0" w:firstRow="1" w:lastRow="0" w:firstColumn="1" w:lastColumn="0" w:noHBand="0" w:noVBand="1"/>
      </w:tblPr>
      <w:tblGrid>
        <w:gridCol w:w="2390"/>
        <w:gridCol w:w="2108"/>
        <w:gridCol w:w="2108"/>
        <w:gridCol w:w="2743"/>
      </w:tblGrid>
      <w:tr w:rsidR="00177B0E" w:rsidRPr="00952C4D" w:rsidTr="00177B0E">
        <w:trPr>
          <w:jc w:val="center"/>
        </w:trPr>
        <w:tc>
          <w:tcPr>
            <w:tcW w:w="1965" w:type="dxa"/>
            <w:vMerge w:val="restar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Объекты</w:t>
            </w:r>
          </w:p>
        </w:tc>
        <w:tc>
          <w:tcPr>
            <w:tcW w:w="6060" w:type="dxa"/>
            <w:gridSpan w:val="3"/>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after="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Удельные размеры земельных участков, м</w:t>
            </w:r>
            <w:r w:rsidRPr="00952C4D">
              <w:rPr>
                <w:rFonts w:ascii="Arial" w:eastAsia="Times New Roman" w:hAnsi="Arial" w:cs="Arial"/>
                <w:sz w:val="24"/>
                <w:szCs w:val="24"/>
                <w:vertAlign w:val="superscript"/>
                <w:lang w:eastAsia="ru-RU"/>
              </w:rPr>
              <w:t>2</w:t>
            </w:r>
            <w:r w:rsidRPr="00952C4D">
              <w:rPr>
                <w:rFonts w:ascii="Arial" w:eastAsia="Times New Roman" w:hAnsi="Arial" w:cs="Arial"/>
                <w:sz w:val="24"/>
                <w:szCs w:val="24"/>
                <w:lang w:eastAsia="ru-RU"/>
              </w:rPr>
              <w:t> на 1 садовый участок, на территории садоводческих, дачных объединений с числом участков</w:t>
            </w:r>
          </w:p>
        </w:tc>
      </w:tr>
      <w:tr w:rsidR="00177B0E" w:rsidRPr="00952C4D" w:rsidTr="00177B0E">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7B0E" w:rsidRPr="00952C4D" w:rsidRDefault="00177B0E" w:rsidP="00177B0E">
            <w:pPr>
              <w:spacing w:after="0" w:line="240" w:lineRule="auto"/>
              <w:rPr>
                <w:rFonts w:ascii="Arial" w:eastAsia="Times New Roman" w:hAnsi="Arial" w:cs="Arial"/>
                <w:sz w:val="24"/>
                <w:szCs w:val="24"/>
                <w:lang w:eastAsia="ru-RU"/>
              </w:rPr>
            </w:pPr>
          </w:p>
        </w:tc>
        <w:tc>
          <w:tcPr>
            <w:tcW w:w="189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до 100 (малые)</w:t>
            </w:r>
          </w:p>
        </w:tc>
        <w:tc>
          <w:tcPr>
            <w:tcW w:w="189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101 - 300 (средние)</w:t>
            </w:r>
          </w:p>
        </w:tc>
        <w:tc>
          <w:tcPr>
            <w:tcW w:w="192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301 и более (крупные)</w:t>
            </w:r>
          </w:p>
        </w:tc>
      </w:tr>
      <w:tr w:rsidR="00177B0E" w:rsidRPr="00952C4D" w:rsidTr="00177B0E">
        <w:trPr>
          <w:jc w:val="center"/>
        </w:trPr>
        <w:tc>
          <w:tcPr>
            <w:tcW w:w="1965"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Сторожка с правлением объединения</w:t>
            </w:r>
          </w:p>
        </w:tc>
        <w:tc>
          <w:tcPr>
            <w:tcW w:w="189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1-0,7</w:t>
            </w:r>
          </w:p>
        </w:tc>
        <w:tc>
          <w:tcPr>
            <w:tcW w:w="189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0,7-0,5</w:t>
            </w:r>
          </w:p>
        </w:tc>
        <w:tc>
          <w:tcPr>
            <w:tcW w:w="192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0,4-0,4</w:t>
            </w:r>
          </w:p>
        </w:tc>
      </w:tr>
      <w:tr w:rsidR="00177B0E" w:rsidRPr="00952C4D" w:rsidTr="00177B0E">
        <w:trPr>
          <w:jc w:val="center"/>
        </w:trPr>
        <w:tc>
          <w:tcPr>
            <w:tcW w:w="1965"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Магазин смешанной</w:t>
            </w:r>
          </w:p>
        </w:tc>
        <w:tc>
          <w:tcPr>
            <w:tcW w:w="189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2-0,5</w:t>
            </w:r>
          </w:p>
        </w:tc>
        <w:tc>
          <w:tcPr>
            <w:tcW w:w="189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0,5-0,2</w:t>
            </w:r>
          </w:p>
        </w:tc>
        <w:tc>
          <w:tcPr>
            <w:tcW w:w="192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0,2 и менее</w:t>
            </w:r>
          </w:p>
        </w:tc>
      </w:tr>
      <w:tr w:rsidR="00177B0E" w:rsidRPr="00952C4D" w:rsidTr="00177B0E">
        <w:trPr>
          <w:jc w:val="center"/>
        </w:trPr>
        <w:tc>
          <w:tcPr>
            <w:tcW w:w="1965"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торговли</w:t>
            </w:r>
          </w:p>
        </w:tc>
        <w:tc>
          <w:tcPr>
            <w:tcW w:w="189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 </w:t>
            </w:r>
          </w:p>
        </w:tc>
        <w:tc>
          <w:tcPr>
            <w:tcW w:w="189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 </w:t>
            </w:r>
          </w:p>
        </w:tc>
        <w:tc>
          <w:tcPr>
            <w:tcW w:w="192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 </w:t>
            </w:r>
          </w:p>
        </w:tc>
      </w:tr>
      <w:tr w:rsidR="00177B0E" w:rsidRPr="00952C4D" w:rsidTr="00177B0E">
        <w:trPr>
          <w:jc w:val="center"/>
        </w:trPr>
        <w:tc>
          <w:tcPr>
            <w:tcW w:w="1965"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Здания и сооружения для хранения средств пожаротушения</w:t>
            </w:r>
          </w:p>
        </w:tc>
        <w:tc>
          <w:tcPr>
            <w:tcW w:w="189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0,5</w:t>
            </w:r>
          </w:p>
        </w:tc>
        <w:tc>
          <w:tcPr>
            <w:tcW w:w="189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0,4</w:t>
            </w:r>
          </w:p>
        </w:tc>
        <w:tc>
          <w:tcPr>
            <w:tcW w:w="192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0,35</w:t>
            </w:r>
          </w:p>
        </w:tc>
      </w:tr>
      <w:tr w:rsidR="00177B0E" w:rsidRPr="00952C4D" w:rsidTr="00177B0E">
        <w:trPr>
          <w:jc w:val="center"/>
        </w:trPr>
        <w:tc>
          <w:tcPr>
            <w:tcW w:w="1965"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Площадки для мусоросборников</w:t>
            </w:r>
          </w:p>
        </w:tc>
        <w:tc>
          <w:tcPr>
            <w:tcW w:w="189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0,1</w:t>
            </w:r>
          </w:p>
        </w:tc>
        <w:tc>
          <w:tcPr>
            <w:tcW w:w="189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0,1</w:t>
            </w:r>
          </w:p>
        </w:tc>
        <w:tc>
          <w:tcPr>
            <w:tcW w:w="192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0,1</w:t>
            </w:r>
          </w:p>
        </w:tc>
      </w:tr>
      <w:tr w:rsidR="00177B0E" w:rsidRPr="00952C4D" w:rsidTr="00177B0E">
        <w:trPr>
          <w:jc w:val="center"/>
        </w:trPr>
        <w:tc>
          <w:tcPr>
            <w:tcW w:w="1965"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Площадка для стоянки автомобилей при въезде на территорию садоводческого объединения</w:t>
            </w:r>
          </w:p>
        </w:tc>
        <w:tc>
          <w:tcPr>
            <w:tcW w:w="189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0,9</w:t>
            </w:r>
          </w:p>
        </w:tc>
        <w:tc>
          <w:tcPr>
            <w:tcW w:w="189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0,9-0,4</w:t>
            </w:r>
          </w:p>
        </w:tc>
        <w:tc>
          <w:tcPr>
            <w:tcW w:w="192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0,4 и менее</w:t>
            </w:r>
          </w:p>
        </w:tc>
      </w:tr>
      <w:tr w:rsidR="00177B0E" w:rsidRPr="00952C4D" w:rsidTr="00177B0E">
        <w:trPr>
          <w:jc w:val="center"/>
        </w:trPr>
        <w:tc>
          <w:tcPr>
            <w:tcW w:w="8205" w:type="dxa"/>
            <w:gridSpan w:val="4"/>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after="0" w:line="240" w:lineRule="auto"/>
              <w:outlineLvl w:val="2"/>
              <w:rPr>
                <w:rFonts w:ascii="Arial" w:eastAsia="Times New Roman" w:hAnsi="Arial" w:cs="Arial"/>
                <w:b/>
                <w:bCs/>
                <w:sz w:val="29"/>
                <w:szCs w:val="29"/>
                <w:lang w:eastAsia="ru-RU"/>
              </w:rPr>
            </w:pPr>
            <w:r w:rsidRPr="00952C4D">
              <w:rPr>
                <w:rFonts w:ascii="Arial" w:eastAsia="Times New Roman" w:hAnsi="Arial" w:cs="Arial"/>
                <w:b/>
                <w:bCs/>
                <w:sz w:val="29"/>
                <w:szCs w:val="29"/>
                <w:lang w:eastAsia="ru-RU"/>
              </w:rPr>
              <w:t>Примечания</w:t>
            </w:r>
          </w:p>
          <w:p w:rsidR="00177B0E" w:rsidRPr="00952C4D" w:rsidRDefault="00177B0E" w:rsidP="00177B0E">
            <w:pPr>
              <w:spacing w:before="90" w:after="9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177B0E" w:rsidRPr="00952C4D" w:rsidRDefault="00177B0E" w:rsidP="00177B0E">
            <w:pPr>
              <w:spacing w:after="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w:t>
            </w:r>
            <w:r w:rsidRPr="00952C4D">
              <w:rPr>
                <w:rFonts w:ascii="Arial" w:eastAsia="Times New Roman" w:hAnsi="Arial" w:cs="Arial"/>
                <w:sz w:val="24"/>
                <w:szCs w:val="24"/>
                <w:lang w:eastAsia="ru-RU"/>
              </w:rPr>
              <w:lastRenderedPageBreak/>
              <w:t>службы. Помещение для хранения переносной мотопомпы и противопожарного инвентаря должно иметь площадь не менее 10 м</w:t>
            </w:r>
            <w:r w:rsidRPr="00952C4D">
              <w:rPr>
                <w:rFonts w:ascii="Arial" w:eastAsia="Times New Roman" w:hAnsi="Arial" w:cs="Arial"/>
                <w:sz w:val="24"/>
                <w:szCs w:val="24"/>
                <w:vertAlign w:val="superscript"/>
                <w:lang w:eastAsia="ru-RU"/>
              </w:rPr>
              <w:t>2</w:t>
            </w:r>
            <w:r w:rsidRPr="00952C4D">
              <w:rPr>
                <w:rFonts w:ascii="Arial" w:eastAsia="Times New Roman" w:hAnsi="Arial" w:cs="Arial"/>
                <w:sz w:val="24"/>
                <w:szCs w:val="24"/>
                <w:lang w:eastAsia="ru-RU"/>
              </w:rPr>
              <w:t> и несгораемые стены.</w:t>
            </w:r>
          </w:p>
        </w:tc>
      </w:tr>
    </w:tbl>
    <w:p w:rsidR="00177B0E" w:rsidRPr="00952C4D" w:rsidRDefault="00177B0E" w:rsidP="00177B0E">
      <w:pPr>
        <w:shd w:val="clear" w:color="auto" w:fill="FFFFFF"/>
        <w:spacing w:after="0" w:line="240" w:lineRule="auto"/>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lastRenderedPageBreak/>
        <w:t> </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5.5 При въезде на территорию общего пользования садоводческого, дачного объединения должна быть предусмотрена сторожка, состав и площади помещений которой устанавливаются уставом садоводческого, дачного объединения.</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5.5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и объектам общего пользования.</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5.7 На территории садоводческого, дачного объединения ширина улиц и проездов в красных линиях должна быть,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для улиц - не менее 15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для проездов - не менее 9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Минимальный радиус закругления края проезжей части - 6,0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Ширина проезжей части улиц и проездов принимается для улиц - не менее 7,0 м, для проездов - не менее 3,5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5.8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Максимальная протяженность тупикового проезда не должна превышать 150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Тупиковые проезды обеспечиваются разворотными площадками размером не менее 15×15 м. Использование разворотной площадки для стоянки автомобилей не допускается.</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5.9 Для обеспечения пожаротушения, при отсутствии централизованного водоснабжения, на территории общего пользования садоводческого, дачного объединения должны предусматриваться противопожарные водоемы или резервуары вместимостью, м</w:t>
      </w:r>
      <w:r w:rsidRPr="00952C4D">
        <w:rPr>
          <w:rFonts w:ascii="Arial" w:eastAsia="Times New Roman" w:hAnsi="Arial" w:cs="Arial"/>
          <w:color w:val="3B3B3B"/>
          <w:sz w:val="21"/>
          <w:szCs w:val="21"/>
          <w:vertAlign w:val="superscript"/>
          <w:lang w:eastAsia="ru-RU"/>
        </w:rPr>
        <w:t>3</w:t>
      </w:r>
      <w:r w:rsidRPr="00952C4D">
        <w:rPr>
          <w:rFonts w:ascii="Arial" w:eastAsia="Times New Roman" w:hAnsi="Arial" w:cs="Arial"/>
          <w:color w:val="3B3B3B"/>
          <w:sz w:val="21"/>
          <w:szCs w:val="21"/>
          <w:lang w:eastAsia="ru-RU"/>
        </w:rPr>
        <w:t>, при числе участков: до 300 - не менее 25, более 300 - не менее 60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Число водоемов (резервуаров) и их расположение определяются требованиями СП 31.13330.</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Садоводческие, дачные объединения, включающие до 300 садовых участков, в противопожарных целях должны иметь переносную мотопомпу; при числе участков от 301 до 1000 - прицепную мотопомпу; при числе участков более 1000 - не менее двух прицепных мотопомп.</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Для хранения мотопомп обязательно строительство специального помещения.</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lastRenderedPageBreak/>
        <w:t>5.10 Здания и сооружения общего пользования должны отстоять от границ садовых участков не менее чем на 4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5.11 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w:t>
      </w:r>
      <w:r w:rsidR="00591E11" w:rsidRPr="00952C4D">
        <w:rPr>
          <w:rFonts w:ascii="Arial" w:eastAsia="Times New Roman" w:hAnsi="Arial" w:cs="Arial"/>
          <w:color w:val="3B3B3B"/>
          <w:sz w:val="21"/>
          <w:szCs w:val="21"/>
          <w:lang w:eastAsia="ru-RU"/>
        </w:rPr>
        <w:t xml:space="preserve"> </w:t>
      </w:r>
      <w:r w:rsidRPr="00952C4D">
        <w:rPr>
          <w:rFonts w:ascii="Arial" w:eastAsia="Times New Roman" w:hAnsi="Arial" w:cs="Arial"/>
          <w:color w:val="3B3B3B"/>
          <w:sz w:val="21"/>
          <w:szCs w:val="21"/>
          <w:lang w:eastAsia="ru-RU"/>
        </w:rPr>
        <w:t>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5.12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177B0E" w:rsidRPr="00952C4D" w:rsidRDefault="00177B0E" w:rsidP="00177B0E">
      <w:pPr>
        <w:shd w:val="clear" w:color="auto" w:fill="FFFFFF"/>
        <w:spacing w:after="0" w:line="240" w:lineRule="auto"/>
        <w:outlineLvl w:val="0"/>
        <w:rPr>
          <w:rFonts w:ascii="Arial" w:eastAsia="Times New Roman" w:hAnsi="Arial" w:cs="Arial"/>
          <w:b/>
          <w:bCs/>
          <w:color w:val="3B3B3B"/>
          <w:kern w:val="36"/>
          <w:sz w:val="29"/>
          <w:szCs w:val="29"/>
          <w:lang w:eastAsia="ru-RU"/>
        </w:rPr>
      </w:pPr>
      <w:r w:rsidRPr="00952C4D">
        <w:rPr>
          <w:rFonts w:ascii="Arial" w:eastAsia="Times New Roman" w:hAnsi="Arial" w:cs="Arial"/>
          <w:b/>
          <w:bCs/>
          <w:color w:val="3B3B3B"/>
          <w:kern w:val="36"/>
          <w:sz w:val="29"/>
          <w:szCs w:val="29"/>
          <w:lang w:eastAsia="ru-RU"/>
        </w:rPr>
        <w:t>6 Планировка и застройка садовых, дачных участков</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6.1 Площадь индивидуального садового, дачного участка принимается не менее 0,06 га.</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6.2 По периметру индивидуальных садовых, дачных участков рекомендуется устраивать сетчатое ограждение. По обоюдному письменному согласию владельцев соседних участков (согласованному правлением садоводческого, дачного объединения) возможно устройство ограждений других типов.</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Допускается по решению общего собрания членов садоводческого, дачного объединения устройство глухих ограждений со стороны улиц и проездов.</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6.3 На садовом, дачном участке следует предусматривать устройство компостной площадки, ямы или ящика, а при отсутствии канализации - и уборной.</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6.4 На садовом, дачном участке могут возводиться жилое строение или жилой дом, хозяйственные постройки и сооружения, в том числе - теплицы, летняя кухня, баня (сауна), душ, навес или гараж для автомобилей.</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 Члены садоводческих, дачных объединений, имеющие на своем участке мелкий скот и птицу, должны соблюдать санитарные и ветеринарные правила по их содержанию.</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6.5 Противопожарные расстояния между строениями и сооружениями в пределах одного садового участка не нормируются.</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Противопожарные расстояния между жилыми строениями или жилыми домами, расположенными на соседних участках, в зависимости от материала несущих и ограждающих конструкций должны быть не менее указанных в таблице 2.</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lastRenderedPageBreak/>
        <w:t>Допускается группировать и блокировать жилые строения или жилые дома на двух соседних участках при однорядной застройке и на четырех соседних участках при двухрядной застройке.</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принимаются по таблице 2.</w:t>
      </w:r>
    </w:p>
    <w:p w:rsidR="00177B0E" w:rsidRPr="00952C4D" w:rsidRDefault="00177B0E" w:rsidP="00177B0E">
      <w:pPr>
        <w:shd w:val="clear" w:color="auto" w:fill="FFFFFF"/>
        <w:spacing w:after="15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Таблица 2 - </w:t>
      </w:r>
      <w:r w:rsidRPr="00952C4D">
        <w:rPr>
          <w:rFonts w:ascii="Arial" w:eastAsia="Times New Roman" w:hAnsi="Arial" w:cs="Arial"/>
          <w:b/>
          <w:bCs/>
          <w:color w:val="3B3B3B"/>
          <w:sz w:val="21"/>
          <w:szCs w:val="21"/>
          <w:lang w:eastAsia="ru-RU"/>
        </w:rPr>
        <w:t>Минимальные противопожарные расстояния между крайними жилыми строениями (или домами) и группами жилых строений (или домов) на участках</w:t>
      </w:r>
    </w:p>
    <w:tbl>
      <w:tblPr>
        <w:tblW w:w="5000" w:type="pct"/>
        <w:jc w:val="center"/>
        <w:tblCellMar>
          <w:left w:w="0" w:type="dxa"/>
          <w:right w:w="0" w:type="dxa"/>
        </w:tblCellMar>
        <w:tblLook w:val="04A0" w:firstRow="1" w:lastRow="0" w:firstColumn="1" w:lastColumn="0" w:noHBand="0" w:noVBand="1"/>
      </w:tblPr>
      <w:tblGrid>
        <w:gridCol w:w="805"/>
        <w:gridCol w:w="4397"/>
        <w:gridCol w:w="1108"/>
        <w:gridCol w:w="1502"/>
        <w:gridCol w:w="1537"/>
      </w:tblGrid>
      <w:tr w:rsidR="00177B0E" w:rsidRPr="00952C4D" w:rsidTr="00177B0E">
        <w:trPr>
          <w:jc w:val="center"/>
        </w:trPr>
        <w:tc>
          <w:tcPr>
            <w:tcW w:w="675" w:type="dxa"/>
            <w:vMerge w:val="restar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 </w:t>
            </w:r>
          </w:p>
        </w:tc>
        <w:tc>
          <w:tcPr>
            <w:tcW w:w="3690" w:type="dxa"/>
            <w:vMerge w:val="restar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Материал несущих и ограждающих конструкций строения</w:t>
            </w:r>
          </w:p>
        </w:tc>
        <w:tc>
          <w:tcPr>
            <w:tcW w:w="3480" w:type="dxa"/>
            <w:gridSpan w:val="3"/>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Расстояния, м</w:t>
            </w:r>
          </w:p>
        </w:tc>
      </w:tr>
      <w:tr w:rsidR="00177B0E" w:rsidRPr="00952C4D" w:rsidTr="00177B0E">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7B0E" w:rsidRPr="00952C4D" w:rsidRDefault="00177B0E" w:rsidP="00177B0E">
            <w:pPr>
              <w:spacing w:after="0" w:line="240" w:lineRule="auto"/>
              <w:rPr>
                <w:rFonts w:ascii="Arial" w:eastAsia="Times New Roman" w:hAnsi="Arial" w:cs="Arial"/>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77B0E" w:rsidRPr="00952C4D" w:rsidRDefault="00177B0E" w:rsidP="00177B0E">
            <w:pPr>
              <w:spacing w:after="0" w:line="240" w:lineRule="auto"/>
              <w:rPr>
                <w:rFonts w:ascii="Arial" w:eastAsia="Times New Roman" w:hAnsi="Arial" w:cs="Arial"/>
                <w:sz w:val="24"/>
                <w:szCs w:val="24"/>
                <w:lang w:eastAsia="ru-RU"/>
              </w:rPr>
            </w:pPr>
          </w:p>
        </w:tc>
        <w:tc>
          <w:tcPr>
            <w:tcW w:w="93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А</w:t>
            </w:r>
          </w:p>
        </w:tc>
        <w:tc>
          <w:tcPr>
            <w:tcW w:w="126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Б</w:t>
            </w:r>
          </w:p>
        </w:tc>
        <w:tc>
          <w:tcPr>
            <w:tcW w:w="93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В</w:t>
            </w:r>
          </w:p>
        </w:tc>
      </w:tr>
      <w:tr w:rsidR="00177B0E" w:rsidRPr="00952C4D" w:rsidTr="00177B0E">
        <w:trPr>
          <w:jc w:val="center"/>
        </w:trPr>
        <w:tc>
          <w:tcPr>
            <w:tcW w:w="675"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А</w:t>
            </w:r>
          </w:p>
        </w:tc>
        <w:tc>
          <w:tcPr>
            <w:tcW w:w="369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Камень, бетон, железобетон и другие негорючие материалы</w:t>
            </w:r>
          </w:p>
        </w:tc>
        <w:tc>
          <w:tcPr>
            <w:tcW w:w="93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6</w:t>
            </w:r>
          </w:p>
        </w:tc>
        <w:tc>
          <w:tcPr>
            <w:tcW w:w="126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8</w:t>
            </w:r>
          </w:p>
        </w:tc>
        <w:tc>
          <w:tcPr>
            <w:tcW w:w="93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10</w:t>
            </w:r>
          </w:p>
        </w:tc>
      </w:tr>
      <w:tr w:rsidR="00177B0E" w:rsidRPr="00952C4D" w:rsidTr="00177B0E">
        <w:trPr>
          <w:jc w:val="center"/>
        </w:trPr>
        <w:tc>
          <w:tcPr>
            <w:tcW w:w="675"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Б</w:t>
            </w:r>
          </w:p>
        </w:tc>
        <w:tc>
          <w:tcPr>
            <w:tcW w:w="369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 xml:space="preserve">То же, с деревянными перекрытиями и покрытиями, защищенными негорючими и </w:t>
            </w:r>
            <w:proofErr w:type="spellStart"/>
            <w:r w:rsidRPr="00952C4D">
              <w:rPr>
                <w:rFonts w:ascii="Arial" w:eastAsia="Times New Roman" w:hAnsi="Arial" w:cs="Arial"/>
                <w:sz w:val="24"/>
                <w:szCs w:val="24"/>
                <w:lang w:eastAsia="ru-RU"/>
              </w:rPr>
              <w:t>трудногорючими</w:t>
            </w:r>
            <w:proofErr w:type="spellEnd"/>
            <w:r w:rsidRPr="00952C4D">
              <w:rPr>
                <w:rFonts w:ascii="Arial" w:eastAsia="Times New Roman" w:hAnsi="Arial" w:cs="Arial"/>
                <w:sz w:val="24"/>
                <w:szCs w:val="24"/>
                <w:lang w:eastAsia="ru-RU"/>
              </w:rPr>
              <w:t xml:space="preserve"> материалами</w:t>
            </w:r>
          </w:p>
        </w:tc>
        <w:tc>
          <w:tcPr>
            <w:tcW w:w="93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8</w:t>
            </w:r>
          </w:p>
        </w:tc>
        <w:tc>
          <w:tcPr>
            <w:tcW w:w="126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10</w:t>
            </w:r>
          </w:p>
        </w:tc>
        <w:tc>
          <w:tcPr>
            <w:tcW w:w="93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12</w:t>
            </w:r>
          </w:p>
        </w:tc>
      </w:tr>
      <w:tr w:rsidR="00177B0E" w:rsidRPr="00952C4D" w:rsidTr="00177B0E">
        <w:trPr>
          <w:jc w:val="center"/>
        </w:trPr>
        <w:tc>
          <w:tcPr>
            <w:tcW w:w="675"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В</w:t>
            </w:r>
          </w:p>
        </w:tc>
        <w:tc>
          <w:tcPr>
            <w:tcW w:w="369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rPr>
                <w:rFonts w:ascii="Arial" w:eastAsia="Times New Roman" w:hAnsi="Arial" w:cs="Arial"/>
                <w:sz w:val="24"/>
                <w:szCs w:val="24"/>
                <w:lang w:eastAsia="ru-RU"/>
              </w:rPr>
            </w:pPr>
            <w:r w:rsidRPr="00952C4D">
              <w:rPr>
                <w:rFonts w:ascii="Arial" w:eastAsia="Times New Roman" w:hAnsi="Arial" w:cs="Arial"/>
                <w:sz w:val="24"/>
                <w:szCs w:val="24"/>
                <w:lang w:eastAsia="ru-RU"/>
              </w:rPr>
              <w:t xml:space="preserve">Древесина, каркасные ограждающие конструкции из негорючих, </w:t>
            </w:r>
            <w:proofErr w:type="spellStart"/>
            <w:r w:rsidRPr="00952C4D">
              <w:rPr>
                <w:rFonts w:ascii="Arial" w:eastAsia="Times New Roman" w:hAnsi="Arial" w:cs="Arial"/>
                <w:sz w:val="24"/>
                <w:szCs w:val="24"/>
                <w:lang w:eastAsia="ru-RU"/>
              </w:rPr>
              <w:t>трудногорючих</w:t>
            </w:r>
            <w:proofErr w:type="spellEnd"/>
            <w:r w:rsidRPr="00952C4D">
              <w:rPr>
                <w:rFonts w:ascii="Arial" w:eastAsia="Times New Roman" w:hAnsi="Arial" w:cs="Arial"/>
                <w:sz w:val="24"/>
                <w:szCs w:val="24"/>
                <w:lang w:eastAsia="ru-RU"/>
              </w:rPr>
              <w:t xml:space="preserve"> и горючих материалов</w:t>
            </w:r>
          </w:p>
        </w:tc>
        <w:tc>
          <w:tcPr>
            <w:tcW w:w="93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10</w:t>
            </w:r>
          </w:p>
        </w:tc>
        <w:tc>
          <w:tcPr>
            <w:tcW w:w="126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12</w:t>
            </w:r>
          </w:p>
        </w:tc>
        <w:tc>
          <w:tcPr>
            <w:tcW w:w="93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177B0E" w:rsidRPr="00952C4D" w:rsidRDefault="00177B0E" w:rsidP="00177B0E">
            <w:pPr>
              <w:spacing w:before="90" w:after="90" w:line="360" w:lineRule="atLeast"/>
              <w:jc w:val="center"/>
              <w:rPr>
                <w:rFonts w:ascii="Arial" w:eastAsia="Times New Roman" w:hAnsi="Arial" w:cs="Arial"/>
                <w:sz w:val="24"/>
                <w:szCs w:val="24"/>
                <w:lang w:eastAsia="ru-RU"/>
              </w:rPr>
            </w:pPr>
            <w:r w:rsidRPr="00952C4D">
              <w:rPr>
                <w:rFonts w:ascii="Arial" w:eastAsia="Times New Roman" w:hAnsi="Arial" w:cs="Arial"/>
                <w:sz w:val="24"/>
                <w:szCs w:val="24"/>
                <w:lang w:eastAsia="ru-RU"/>
              </w:rPr>
              <w:t>15</w:t>
            </w:r>
          </w:p>
        </w:tc>
      </w:tr>
    </w:tbl>
    <w:p w:rsidR="00177B0E" w:rsidRPr="00952C4D" w:rsidRDefault="00177B0E" w:rsidP="00177B0E">
      <w:pPr>
        <w:shd w:val="clear" w:color="auto" w:fill="FFFFFF"/>
        <w:spacing w:after="0" w:line="240" w:lineRule="auto"/>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 </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6.6 Жилое строение или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таблице 2. Расстояния от хозяйственных построек до красных линий улиц и проездов должны быть не менее 5 м.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6.7 Минимальные расстояния до границы соседнего участка по санитарно-бытовым условиям должны быть от:</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жилого строения (или дома) - 3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постройки для содержания мелкого скота и птицы - 4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других построек - 1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стволов высокорослых деревьев - 4 м, среднерослых - 2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lastRenderedPageBreak/>
        <w:t>кустарника - 1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Расстояние между жилым строением (или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При возведении на садовом, дачном участке хозяйственных построек, располагаемых на расстоянии 1 м от границы соседнего садового, дачного участка, скат крыши следует ориентировать таким образом, чтобы сток дождевой воды не попал на соседний участок.</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6.8 Минимальные расстояния между постройками по санитарно-бытовым условиям должны быть,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от жилого строения или жилого дома до душа, бани (сауны), уборной - 8;</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от колодца до уборной и компостного устройства - 8.</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Указанные расстояния должны соблюдаться между постройками, расположенными на смежных участках.</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6.9 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блокировки, например:</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дом-гараж (от дома не менее 3 м, от гаража не менее 1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дом-постройка для скота и птицы (от дома не менее 3 м, от постройки для скота и птицы не менее 4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6.10 Гаражи для автомобилей могут быть отдельно стоящими, встроенными или пристроенными к садовому, дачному дому и хозяйственным постройкам.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 xml:space="preserve">6.11 На садовых, дачных участках площадью 0,06-0,12 га под строения, </w:t>
      </w:r>
      <w:proofErr w:type="spellStart"/>
      <w:r w:rsidRPr="00952C4D">
        <w:rPr>
          <w:rFonts w:ascii="Arial" w:eastAsia="Times New Roman" w:hAnsi="Arial" w:cs="Arial"/>
          <w:color w:val="3B3B3B"/>
          <w:sz w:val="21"/>
          <w:szCs w:val="21"/>
          <w:lang w:eastAsia="ru-RU"/>
        </w:rPr>
        <w:t>отмостки</w:t>
      </w:r>
      <w:proofErr w:type="spellEnd"/>
      <w:r w:rsidRPr="00952C4D">
        <w:rPr>
          <w:rFonts w:ascii="Arial" w:eastAsia="Times New Roman" w:hAnsi="Arial" w:cs="Arial"/>
          <w:color w:val="3B3B3B"/>
          <w:sz w:val="21"/>
          <w:szCs w:val="21"/>
          <w:lang w:eastAsia="ru-RU"/>
        </w:rPr>
        <w:t>, дорожки и площадки с твердым покрытием следует отводить не более 30 % территории.</w:t>
      </w:r>
    </w:p>
    <w:p w:rsidR="00177B0E" w:rsidRPr="00952C4D" w:rsidRDefault="00177B0E" w:rsidP="00177B0E">
      <w:pPr>
        <w:shd w:val="clear" w:color="auto" w:fill="FFFFFF"/>
        <w:spacing w:after="0" w:line="240" w:lineRule="auto"/>
        <w:outlineLvl w:val="0"/>
        <w:rPr>
          <w:rFonts w:ascii="Arial" w:eastAsia="Times New Roman" w:hAnsi="Arial" w:cs="Arial"/>
          <w:b/>
          <w:bCs/>
          <w:color w:val="3B3B3B"/>
          <w:kern w:val="36"/>
          <w:sz w:val="29"/>
          <w:szCs w:val="29"/>
          <w:lang w:eastAsia="ru-RU"/>
        </w:rPr>
      </w:pPr>
      <w:r w:rsidRPr="00952C4D">
        <w:rPr>
          <w:rFonts w:ascii="Arial" w:eastAsia="Times New Roman" w:hAnsi="Arial" w:cs="Arial"/>
          <w:b/>
          <w:bCs/>
          <w:color w:val="3B3B3B"/>
          <w:kern w:val="36"/>
          <w:sz w:val="29"/>
          <w:szCs w:val="29"/>
          <w:lang w:eastAsia="ru-RU"/>
        </w:rPr>
        <w:t>7 Объемно-планировочные и конструктивные решения зданий и сооружений</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7.1 Жилые строения или жилые дома проектируются (возводятся) с различной объемно-планировочной структурой.</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7.2 Под жилым строением или жилым домом и хозяйственными постройками допускается устройство подвала и погреба.</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7.3 Высота жилых помещений принимается от пола до потолка не менее 2,2 м.</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 прогонов).</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lastRenderedPageBreak/>
        <w:t>При проектировании домов для круглогодичного проживания следует учитывать требования </w:t>
      </w:r>
      <w:r w:rsidR="00591E11" w:rsidRPr="00952C4D">
        <w:rPr>
          <w:rFonts w:ascii="Arial" w:eastAsia="Times New Roman" w:hAnsi="Arial" w:cs="Arial"/>
          <w:color w:val="3B3B3B"/>
          <w:sz w:val="21"/>
          <w:szCs w:val="21"/>
          <w:lang w:eastAsia="ru-RU"/>
        </w:rPr>
        <w:t>СП 55.13330</w:t>
      </w:r>
      <w:r w:rsidRPr="00952C4D">
        <w:rPr>
          <w:rFonts w:ascii="Arial" w:eastAsia="Times New Roman" w:hAnsi="Arial" w:cs="Arial"/>
          <w:color w:val="3B3B3B"/>
          <w:sz w:val="21"/>
          <w:szCs w:val="21"/>
          <w:lang w:eastAsia="ru-RU"/>
        </w:rPr>
        <w:t>.</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7.4 Лестницы, ведущие на второй этаж (в том числе, на мансарду), могут располагаться как внутри, так и снаружи жилых строений или жилых домов. Параметры указанных лестниц, а также лестниц, ведущих в подвальные и цокольные этажи принимаются в зависимости от конкретных условий и, как правило, с учетом требований </w:t>
      </w:r>
      <w:r w:rsidR="00591E11" w:rsidRPr="00952C4D">
        <w:rPr>
          <w:rFonts w:ascii="Arial" w:eastAsia="Times New Roman" w:hAnsi="Arial" w:cs="Arial"/>
          <w:color w:val="3B3B3B"/>
          <w:sz w:val="21"/>
          <w:szCs w:val="21"/>
          <w:lang w:eastAsia="ru-RU"/>
        </w:rPr>
        <w:t>СП 55.13330</w:t>
      </w:r>
      <w:r w:rsidRPr="00952C4D">
        <w:rPr>
          <w:rFonts w:ascii="Arial" w:eastAsia="Times New Roman" w:hAnsi="Arial" w:cs="Arial"/>
          <w:color w:val="3B3B3B"/>
          <w:sz w:val="21"/>
          <w:szCs w:val="21"/>
          <w:lang w:eastAsia="ru-RU"/>
        </w:rPr>
        <w:t>.</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7.5 Не допускается организация стока дождевой воды с крыш на соседний участок.</w:t>
      </w:r>
    </w:p>
    <w:p w:rsidR="00177B0E" w:rsidRPr="00952C4D" w:rsidRDefault="00177B0E" w:rsidP="00177B0E">
      <w:pPr>
        <w:shd w:val="clear" w:color="auto" w:fill="FFFFFF"/>
        <w:spacing w:after="0" w:line="240" w:lineRule="auto"/>
        <w:outlineLvl w:val="0"/>
        <w:rPr>
          <w:rFonts w:ascii="Arial" w:eastAsia="Times New Roman" w:hAnsi="Arial" w:cs="Arial"/>
          <w:b/>
          <w:bCs/>
          <w:color w:val="3B3B3B"/>
          <w:kern w:val="36"/>
          <w:sz w:val="29"/>
          <w:szCs w:val="29"/>
          <w:lang w:eastAsia="ru-RU"/>
        </w:rPr>
      </w:pPr>
      <w:r w:rsidRPr="00952C4D">
        <w:rPr>
          <w:rFonts w:ascii="Arial" w:eastAsia="Times New Roman" w:hAnsi="Arial" w:cs="Arial"/>
          <w:b/>
          <w:bCs/>
          <w:color w:val="3B3B3B"/>
          <w:kern w:val="36"/>
          <w:sz w:val="29"/>
          <w:szCs w:val="29"/>
          <w:lang w:eastAsia="ru-RU"/>
        </w:rPr>
        <w:t>8 Инженерное обустройство</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8.1 Территория садоводческого, дачного объединения должна быть оборудована системой водоснабжения, отвечающей требованиям СП 31.13330.</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 xml:space="preserve">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952C4D">
        <w:rPr>
          <w:rFonts w:ascii="Arial" w:eastAsia="Times New Roman" w:hAnsi="Arial" w:cs="Arial"/>
          <w:color w:val="3B3B3B"/>
          <w:sz w:val="21"/>
          <w:szCs w:val="21"/>
          <w:lang w:eastAsia="ru-RU"/>
        </w:rPr>
        <w:t>мелкотрубчатых</w:t>
      </w:r>
      <w:proofErr w:type="spellEnd"/>
      <w:r w:rsidRPr="00952C4D">
        <w:rPr>
          <w:rFonts w:ascii="Arial" w:eastAsia="Times New Roman" w:hAnsi="Arial" w:cs="Arial"/>
          <w:color w:val="3B3B3B"/>
          <w:sz w:val="21"/>
          <w:szCs w:val="21"/>
          <w:lang w:eastAsia="ru-RU"/>
        </w:rPr>
        <w:t xml:space="preserve"> колодцев, каптажей родников с соблюдением требований, изложенных в </w:t>
      </w:r>
      <w:r w:rsidR="00591E11" w:rsidRPr="00952C4D">
        <w:rPr>
          <w:rFonts w:ascii="Arial" w:eastAsia="Times New Roman" w:hAnsi="Arial" w:cs="Arial"/>
          <w:color w:val="3B3B3B"/>
          <w:sz w:val="21"/>
          <w:szCs w:val="21"/>
          <w:lang w:eastAsia="ru-RU"/>
        </w:rPr>
        <w:t>СанПиН 2.1.4.1110</w:t>
      </w:r>
      <w:r w:rsidRPr="00952C4D">
        <w:rPr>
          <w:rFonts w:ascii="Arial" w:eastAsia="Times New Roman" w:hAnsi="Arial" w:cs="Arial"/>
          <w:color w:val="3B3B3B"/>
          <w:sz w:val="21"/>
          <w:szCs w:val="21"/>
          <w:lang w:eastAsia="ru-RU"/>
        </w:rPr>
        <w:t>.</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Устройство ввода водопровода в жилые строения и жилые дома согласно СП 30.13330 допускается при наличии местной канализации или при подключении к централизованной системе канализации.</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Свободный напор воды в сети водопровода на территории садоводческого объединения должен быть не менее 0,1 МПа.</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8.2 На землях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 радиусом от 30 до 50 м (для артезианских скважин устанавливается гидрогеологами).</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 xml:space="preserve">Для </w:t>
      </w:r>
      <w:proofErr w:type="spellStart"/>
      <w:r w:rsidRPr="00952C4D">
        <w:rPr>
          <w:rFonts w:ascii="Arial" w:eastAsia="Times New Roman" w:hAnsi="Arial" w:cs="Arial"/>
          <w:color w:val="3B3B3B"/>
          <w:sz w:val="21"/>
          <w:szCs w:val="21"/>
          <w:lang w:eastAsia="ru-RU"/>
        </w:rPr>
        <w:t>артскважины</w:t>
      </w:r>
      <w:proofErr w:type="spellEnd"/>
      <w:r w:rsidRPr="00952C4D">
        <w:rPr>
          <w:rFonts w:ascii="Arial" w:eastAsia="Times New Roman" w:hAnsi="Arial" w:cs="Arial"/>
          <w:color w:val="3B3B3B"/>
          <w:sz w:val="21"/>
          <w:szCs w:val="21"/>
          <w:lang w:eastAsia="ru-RU"/>
        </w:rPr>
        <w:t xml:space="preserve"> в комплексе с водозаборным узлом зону I пояса по согласованию с местными органами санитарно-эпидемиологической службы допускается сократить до 15 м.</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8.3 При централизованных системах водоснабжения качество воды, подаваемой на хозяйственно-питьевые нужды, должно соответствовать </w:t>
      </w:r>
      <w:r w:rsidR="00591E11" w:rsidRPr="00952C4D">
        <w:rPr>
          <w:rFonts w:ascii="Arial" w:eastAsia="Times New Roman" w:hAnsi="Arial" w:cs="Arial"/>
          <w:color w:val="3B3B3B"/>
          <w:sz w:val="21"/>
          <w:szCs w:val="21"/>
          <w:lang w:eastAsia="ru-RU"/>
        </w:rPr>
        <w:t>СанПиН 2.1.4.1074</w:t>
      </w:r>
      <w:r w:rsidRPr="00952C4D">
        <w:rPr>
          <w:rFonts w:ascii="Arial" w:eastAsia="Times New Roman" w:hAnsi="Arial" w:cs="Arial"/>
          <w:color w:val="3B3B3B"/>
          <w:sz w:val="21"/>
          <w:szCs w:val="21"/>
          <w:lang w:eastAsia="ru-RU"/>
        </w:rPr>
        <w:t>. При нецентрализованном водоснабжении гигиенические требования к качеству питьевой воды должны соответствовать </w:t>
      </w:r>
      <w:r w:rsidR="00591E11" w:rsidRPr="00952C4D">
        <w:rPr>
          <w:rFonts w:ascii="Arial" w:eastAsia="Times New Roman" w:hAnsi="Arial" w:cs="Arial"/>
          <w:color w:val="3B3B3B"/>
          <w:sz w:val="21"/>
          <w:szCs w:val="21"/>
          <w:lang w:eastAsia="ru-RU"/>
        </w:rPr>
        <w:t>СанПиН 2.1.4.1175</w:t>
      </w:r>
      <w:r w:rsidRPr="00952C4D">
        <w:rPr>
          <w:rFonts w:ascii="Arial" w:eastAsia="Times New Roman" w:hAnsi="Arial" w:cs="Arial"/>
          <w:color w:val="3B3B3B"/>
          <w:sz w:val="21"/>
          <w:szCs w:val="21"/>
          <w:lang w:eastAsia="ru-RU"/>
        </w:rPr>
        <w:t>.</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8.4 Расчет систем водоснабжения производится исходя из следующих норм среднесуточного водопотребления на хозяйственно-питьевые нужды:</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при водопользовании из водоразборных колонок, скважин, шахтных колодцев - 30-50 л/</w:t>
      </w:r>
      <w:proofErr w:type="spellStart"/>
      <w:r w:rsidRPr="00952C4D">
        <w:rPr>
          <w:rFonts w:ascii="Arial" w:eastAsia="Times New Roman" w:hAnsi="Arial" w:cs="Arial"/>
          <w:color w:val="3B3B3B"/>
          <w:sz w:val="21"/>
          <w:szCs w:val="21"/>
          <w:lang w:eastAsia="ru-RU"/>
        </w:rPr>
        <w:t>сут</w:t>
      </w:r>
      <w:proofErr w:type="spellEnd"/>
      <w:r w:rsidRPr="00952C4D">
        <w:rPr>
          <w:rFonts w:ascii="Arial" w:eastAsia="Times New Roman" w:hAnsi="Arial" w:cs="Arial"/>
          <w:color w:val="3B3B3B"/>
          <w:sz w:val="21"/>
          <w:szCs w:val="21"/>
          <w:lang w:eastAsia="ru-RU"/>
        </w:rPr>
        <w:t xml:space="preserve"> на 1 жителя;</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при обеспечении внутренним водопроводом и канализацией (без ванн) - 125-160 л/</w:t>
      </w:r>
      <w:proofErr w:type="spellStart"/>
      <w:r w:rsidRPr="00952C4D">
        <w:rPr>
          <w:rFonts w:ascii="Arial" w:eastAsia="Times New Roman" w:hAnsi="Arial" w:cs="Arial"/>
          <w:color w:val="3B3B3B"/>
          <w:sz w:val="21"/>
          <w:szCs w:val="21"/>
          <w:lang w:eastAsia="ru-RU"/>
        </w:rPr>
        <w:t>сут</w:t>
      </w:r>
      <w:proofErr w:type="spellEnd"/>
      <w:r w:rsidRPr="00952C4D">
        <w:rPr>
          <w:rFonts w:ascii="Arial" w:eastAsia="Times New Roman" w:hAnsi="Arial" w:cs="Arial"/>
          <w:color w:val="3B3B3B"/>
          <w:sz w:val="21"/>
          <w:szCs w:val="21"/>
          <w:lang w:eastAsia="ru-RU"/>
        </w:rPr>
        <w:t xml:space="preserve"> на 1 жителя.</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Для полива посадок на приусадебных участках: овощных культур - 3-15 л/м</w:t>
      </w:r>
      <w:r w:rsidRPr="00952C4D">
        <w:rPr>
          <w:rFonts w:ascii="Arial" w:eastAsia="Times New Roman" w:hAnsi="Arial" w:cs="Arial"/>
          <w:color w:val="3B3B3B"/>
          <w:sz w:val="21"/>
          <w:szCs w:val="21"/>
          <w:vertAlign w:val="superscript"/>
          <w:lang w:eastAsia="ru-RU"/>
        </w:rPr>
        <w:t>2</w:t>
      </w:r>
      <w:r w:rsidRPr="00952C4D">
        <w:rPr>
          <w:rFonts w:ascii="Arial" w:eastAsia="Times New Roman" w:hAnsi="Arial" w:cs="Arial"/>
          <w:color w:val="3B3B3B"/>
          <w:sz w:val="21"/>
          <w:szCs w:val="21"/>
          <w:lang w:eastAsia="ru-RU"/>
        </w:rPr>
        <w:t> в сутки; плодовых деревьев - 10-15 л/м</w:t>
      </w:r>
      <w:r w:rsidRPr="00952C4D">
        <w:rPr>
          <w:rFonts w:ascii="Arial" w:eastAsia="Times New Roman" w:hAnsi="Arial" w:cs="Arial"/>
          <w:color w:val="3B3B3B"/>
          <w:sz w:val="21"/>
          <w:szCs w:val="21"/>
          <w:vertAlign w:val="superscript"/>
          <w:lang w:eastAsia="ru-RU"/>
        </w:rPr>
        <w:t>2</w:t>
      </w:r>
      <w:r w:rsidRPr="00952C4D">
        <w:rPr>
          <w:rFonts w:ascii="Arial" w:eastAsia="Times New Roman" w:hAnsi="Arial" w:cs="Arial"/>
          <w:color w:val="3B3B3B"/>
          <w:sz w:val="21"/>
          <w:szCs w:val="21"/>
          <w:lang w:eastAsia="ru-RU"/>
        </w:rPr>
        <w:t> в сутки.</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lastRenderedPageBreak/>
        <w:t>При наличии водопровода или артезианской скважины для учета расходуемой воды на водоразборных устройствах следует предусматривать установку счетчиков.</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8.5 Территории садоводческих, дачных объединений должны быть обеспечены противопожарным водоснабжением путем подключения к наружным водопроводным сетям либо путем устройства противопожарных водоемов или резервуаров.</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На наружных водопроводных сетях через каждые 100 м следует устанавливать соединительные головки для забора воды пожарными машинами.</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Водонапорные башни, расположенные на территории садоводческих, дачных объединений, должны быть оборудованы устройствами (соединительными головками и т.п.) для забора воды пожарными машинами.</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По согласованию с органами государственной противопожарной службы допускается для целей пожаротушения использовать естественные источники, расположенные на расстоянии не более 200 м от территорий садоводческих, дачных объединений.</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Расход воды для пожаротушения следует принимать 5 л/с.</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8.6 Сбор, удаление и обезвреживание нечистот могут быть не</w:t>
      </w:r>
      <w:r w:rsidR="00591E11" w:rsidRPr="00952C4D">
        <w:rPr>
          <w:rFonts w:ascii="Arial" w:eastAsia="Times New Roman" w:hAnsi="Arial" w:cs="Arial"/>
          <w:color w:val="3B3B3B"/>
          <w:sz w:val="21"/>
          <w:szCs w:val="21"/>
          <w:lang w:eastAsia="ru-RU"/>
        </w:rPr>
        <w:t xml:space="preserve"> </w:t>
      </w:r>
      <w:r w:rsidRPr="00952C4D">
        <w:rPr>
          <w:rFonts w:ascii="Arial" w:eastAsia="Times New Roman" w:hAnsi="Arial" w:cs="Arial"/>
          <w:color w:val="3B3B3B"/>
          <w:sz w:val="21"/>
          <w:szCs w:val="21"/>
          <w:lang w:eastAsia="ru-RU"/>
        </w:rPr>
        <w:t xml:space="preserve">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Допускается </w:t>
      </w:r>
      <w:proofErr w:type="spellStart"/>
      <w:r w:rsidRPr="00952C4D">
        <w:rPr>
          <w:rFonts w:ascii="Arial" w:eastAsia="Times New Roman" w:hAnsi="Arial" w:cs="Arial"/>
          <w:color w:val="3B3B3B"/>
          <w:sz w:val="21"/>
          <w:szCs w:val="21"/>
          <w:lang w:eastAsia="ru-RU"/>
        </w:rPr>
        <w:t>канализование</w:t>
      </w:r>
      <w:proofErr w:type="spellEnd"/>
      <w:r w:rsidRPr="00952C4D">
        <w:rPr>
          <w:rFonts w:ascii="Arial" w:eastAsia="Times New Roman" w:hAnsi="Arial" w:cs="Arial"/>
          <w:color w:val="3B3B3B"/>
          <w:sz w:val="21"/>
          <w:szCs w:val="21"/>
          <w:lang w:eastAsia="ru-RU"/>
        </w:rPr>
        <w:t xml:space="preserve"> участков с количеством стоков до 5 тыс.м</w:t>
      </w:r>
      <w:r w:rsidRPr="00952C4D">
        <w:rPr>
          <w:rFonts w:ascii="Arial" w:eastAsia="Times New Roman" w:hAnsi="Arial" w:cs="Arial"/>
          <w:color w:val="3B3B3B"/>
          <w:sz w:val="21"/>
          <w:szCs w:val="21"/>
          <w:vertAlign w:val="superscript"/>
          <w:lang w:eastAsia="ru-RU"/>
        </w:rPr>
        <w:t>3</w:t>
      </w:r>
      <w:r w:rsidRPr="00952C4D">
        <w:rPr>
          <w:rFonts w:ascii="Arial" w:eastAsia="Times New Roman" w:hAnsi="Arial" w:cs="Arial"/>
          <w:color w:val="3B3B3B"/>
          <w:sz w:val="21"/>
          <w:szCs w:val="21"/>
          <w:lang w:eastAsia="ru-RU"/>
        </w:rPr>
        <w:t>/</w:t>
      </w:r>
      <w:proofErr w:type="spellStart"/>
      <w:r w:rsidRPr="00952C4D">
        <w:rPr>
          <w:rFonts w:ascii="Arial" w:eastAsia="Times New Roman" w:hAnsi="Arial" w:cs="Arial"/>
          <w:color w:val="3B3B3B"/>
          <w:sz w:val="21"/>
          <w:szCs w:val="21"/>
          <w:lang w:eastAsia="ru-RU"/>
        </w:rPr>
        <w:t>сут</w:t>
      </w:r>
      <w:proofErr w:type="spellEnd"/>
      <w:r w:rsidRPr="00952C4D">
        <w:rPr>
          <w:rFonts w:ascii="Arial" w:eastAsia="Times New Roman" w:hAnsi="Arial" w:cs="Arial"/>
          <w:color w:val="3B3B3B"/>
          <w:sz w:val="21"/>
          <w:szCs w:val="21"/>
          <w:lang w:eastAsia="ru-RU"/>
        </w:rPr>
        <w:t xml:space="preserve"> на единые очистные сооружения закрытого типа с современной технологией и доведением очищенных вод до нормативных показателей с санитарно-защитной зоной 20 м до жилых строений.</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 xml:space="preserve">Возможно также подключение к централизованным системам канализации при соблюдении требований СП 32.13330. В исключительных случаях при централизованном </w:t>
      </w:r>
      <w:proofErr w:type="spellStart"/>
      <w:r w:rsidRPr="00952C4D">
        <w:rPr>
          <w:rFonts w:ascii="Arial" w:eastAsia="Times New Roman" w:hAnsi="Arial" w:cs="Arial"/>
          <w:color w:val="3B3B3B"/>
          <w:sz w:val="21"/>
          <w:szCs w:val="21"/>
          <w:lang w:eastAsia="ru-RU"/>
        </w:rPr>
        <w:t>канализовании</w:t>
      </w:r>
      <w:proofErr w:type="spellEnd"/>
      <w:r w:rsidRPr="00952C4D">
        <w:rPr>
          <w:rFonts w:ascii="Arial" w:eastAsia="Times New Roman" w:hAnsi="Arial" w:cs="Arial"/>
          <w:color w:val="3B3B3B"/>
          <w:sz w:val="21"/>
          <w:szCs w:val="21"/>
          <w:lang w:eastAsia="ru-RU"/>
        </w:rPr>
        <w:t xml:space="preserve"> территории на участках, расположенных в пониженных местах рельефа, разрешается устройство локальных очистных сооружений.</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8.7 При не</w:t>
      </w:r>
      <w:r w:rsidR="00591E11" w:rsidRPr="00952C4D">
        <w:rPr>
          <w:rFonts w:ascii="Arial" w:eastAsia="Times New Roman" w:hAnsi="Arial" w:cs="Arial"/>
          <w:color w:val="3B3B3B"/>
          <w:sz w:val="21"/>
          <w:szCs w:val="21"/>
          <w:lang w:eastAsia="ru-RU"/>
        </w:rPr>
        <w:t xml:space="preserve"> </w:t>
      </w:r>
      <w:r w:rsidRPr="00952C4D">
        <w:rPr>
          <w:rFonts w:ascii="Arial" w:eastAsia="Times New Roman" w:hAnsi="Arial" w:cs="Arial"/>
          <w:color w:val="3B3B3B"/>
          <w:sz w:val="21"/>
          <w:szCs w:val="21"/>
          <w:lang w:eastAsia="ru-RU"/>
        </w:rPr>
        <w:t>канализованном удалении фекалий надлежит обеспечивать устройства с местным компостированием - пудр-клозеты, биотуалеты.</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Допускается использование выгребных устройств типа люфт-клозет и надворных уборных, а также одно и двухкамерных септиков с размещением от границ участка не менее 1 м. Не допускается устройство люфт-клозетов в IV климатическом районе и III Б подрайоне.</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На каждом индивидуальном участке допускается применять локальные очистные сооружения производительностью до 1-3 м</w:t>
      </w:r>
      <w:r w:rsidRPr="00952C4D">
        <w:rPr>
          <w:rFonts w:ascii="Arial" w:eastAsia="Times New Roman" w:hAnsi="Arial" w:cs="Arial"/>
          <w:color w:val="3B3B3B"/>
          <w:sz w:val="21"/>
          <w:szCs w:val="21"/>
          <w:vertAlign w:val="superscript"/>
          <w:lang w:eastAsia="ru-RU"/>
        </w:rPr>
        <w:t>3</w:t>
      </w:r>
      <w:r w:rsidRPr="00952C4D">
        <w:rPr>
          <w:rFonts w:ascii="Arial" w:eastAsia="Times New Roman" w:hAnsi="Arial" w:cs="Arial"/>
          <w:color w:val="3B3B3B"/>
          <w:sz w:val="21"/>
          <w:szCs w:val="21"/>
          <w:lang w:eastAsia="ru-RU"/>
        </w:rPr>
        <w:t> с дальнейшим отводом в пониженное место.</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8.8 Сбор и обработку стоков душа, бани, сауны и хозяйственных сточных вод следует производить в фильтровальной траншее с гравийно-песчаной засыпкой или в других очистных сооружениях, расположенных на расстоянии не ближе 1 м от границы соседнего участка.</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Допускается хозяйственные сточные воды сбрасывать в наружный кювет по специально организованной канаве, при согласовании в каждом отдельном случае с органами санитарного надзора.</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lastRenderedPageBreak/>
        <w:t>8.9 В отапливаемых домах обогрев и горячее водоснабжение следует предусматривать от автономных систем, к которым относятся: источники теплоснабжения (котел, печь и др.), а также нагревательные приборы и водоразборная арматура.</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8.10 Газоснабжение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правил [</w:t>
      </w:r>
      <w:r w:rsidR="00591E11" w:rsidRPr="00952C4D">
        <w:rPr>
          <w:rFonts w:ascii="Arial" w:eastAsia="Times New Roman" w:hAnsi="Arial" w:cs="Arial"/>
          <w:color w:val="3B3B3B"/>
          <w:sz w:val="21"/>
          <w:szCs w:val="21"/>
          <w:lang w:eastAsia="ru-RU"/>
        </w:rPr>
        <w:t>3</w:t>
      </w:r>
      <w:r w:rsidRPr="00952C4D">
        <w:rPr>
          <w:rFonts w:ascii="Arial" w:eastAsia="Times New Roman" w:hAnsi="Arial" w:cs="Arial"/>
          <w:color w:val="3B3B3B"/>
          <w:sz w:val="21"/>
          <w:szCs w:val="21"/>
          <w:lang w:eastAsia="ru-RU"/>
        </w:rPr>
        <w:t>] и </w:t>
      </w:r>
      <w:r w:rsidR="00591E11" w:rsidRPr="00952C4D">
        <w:rPr>
          <w:rFonts w:ascii="Arial" w:eastAsia="Times New Roman" w:hAnsi="Arial" w:cs="Arial"/>
          <w:color w:val="3B3B3B"/>
          <w:sz w:val="21"/>
          <w:szCs w:val="21"/>
          <w:lang w:eastAsia="ru-RU"/>
        </w:rPr>
        <w:t>СП 62.13330</w:t>
      </w:r>
      <w:r w:rsidRPr="00952C4D">
        <w:rPr>
          <w:rFonts w:ascii="Arial" w:eastAsia="Times New Roman" w:hAnsi="Arial" w:cs="Arial"/>
          <w:color w:val="3B3B3B"/>
          <w:sz w:val="21"/>
          <w:szCs w:val="21"/>
          <w:lang w:eastAsia="ru-RU"/>
        </w:rPr>
        <w:t>.</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8.11 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8.12 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 xml:space="preserve">8.13 Электрооборудование и </w:t>
      </w:r>
      <w:proofErr w:type="spellStart"/>
      <w:r w:rsidRPr="00952C4D">
        <w:rPr>
          <w:rFonts w:ascii="Arial" w:eastAsia="Times New Roman" w:hAnsi="Arial" w:cs="Arial"/>
          <w:color w:val="3B3B3B"/>
          <w:sz w:val="21"/>
          <w:szCs w:val="21"/>
          <w:lang w:eastAsia="ru-RU"/>
        </w:rPr>
        <w:t>молниезащиту</w:t>
      </w:r>
      <w:proofErr w:type="spellEnd"/>
      <w:r w:rsidRPr="00952C4D">
        <w:rPr>
          <w:rFonts w:ascii="Arial" w:eastAsia="Times New Roman" w:hAnsi="Arial" w:cs="Arial"/>
          <w:color w:val="3B3B3B"/>
          <w:sz w:val="21"/>
          <w:szCs w:val="21"/>
          <w:lang w:eastAsia="ru-RU"/>
        </w:rPr>
        <w:t xml:space="preserve"> домов и хозяйственных построек следует проектировать в соответствии с требованиями правил [</w:t>
      </w:r>
      <w:r w:rsidR="00591E11" w:rsidRPr="00952C4D">
        <w:rPr>
          <w:rFonts w:ascii="Arial" w:eastAsia="Times New Roman" w:hAnsi="Arial" w:cs="Arial"/>
          <w:color w:val="3B3B3B"/>
          <w:sz w:val="21"/>
          <w:szCs w:val="21"/>
          <w:lang w:eastAsia="ru-RU"/>
        </w:rPr>
        <w:t>3</w:t>
      </w:r>
      <w:r w:rsidRPr="00952C4D">
        <w:rPr>
          <w:rFonts w:ascii="Arial" w:eastAsia="Times New Roman" w:hAnsi="Arial" w:cs="Arial"/>
          <w:color w:val="3B3B3B"/>
          <w:sz w:val="21"/>
          <w:szCs w:val="21"/>
          <w:lang w:eastAsia="ru-RU"/>
        </w:rPr>
        <w:t>] и инструкции [</w:t>
      </w:r>
      <w:r w:rsidR="00591E11" w:rsidRPr="00952C4D">
        <w:rPr>
          <w:rFonts w:ascii="Arial" w:eastAsia="Times New Roman" w:hAnsi="Arial" w:cs="Arial"/>
          <w:color w:val="3B3B3B"/>
          <w:sz w:val="21"/>
          <w:szCs w:val="21"/>
          <w:lang w:eastAsia="ru-RU"/>
        </w:rPr>
        <w:t>4</w:t>
      </w:r>
      <w:r w:rsidRPr="00952C4D">
        <w:rPr>
          <w:rFonts w:ascii="Arial" w:eastAsia="Times New Roman" w:hAnsi="Arial" w:cs="Arial"/>
          <w:color w:val="3B3B3B"/>
          <w:sz w:val="21"/>
          <w:szCs w:val="21"/>
          <w:lang w:eastAsia="ru-RU"/>
        </w:rPr>
        <w:t>].</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8.14 В жилом строении (доме) следует предусматривать установку счетчика для учета потребляемой электроэнергии.</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8.15 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сторожки.</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8.16 Помещение сторожки должно быть обеспечено телефонной связью или мобильной радиосвязью, позволяющей осуществлять вызов неотложной медицинской помощи, пожарной, милицейской и аварийных служб.</w:t>
      </w:r>
    </w:p>
    <w:p w:rsidR="00177B0E" w:rsidRPr="00952C4D" w:rsidRDefault="00177B0E" w:rsidP="00177B0E">
      <w:pPr>
        <w:shd w:val="clear" w:color="auto" w:fill="FFFFFF"/>
        <w:spacing w:after="0" w:line="240" w:lineRule="auto"/>
        <w:jc w:val="center"/>
        <w:outlineLvl w:val="0"/>
        <w:rPr>
          <w:rFonts w:ascii="Arial" w:eastAsia="Times New Roman" w:hAnsi="Arial" w:cs="Arial"/>
          <w:b/>
          <w:bCs/>
          <w:color w:val="3B3B3B"/>
          <w:kern w:val="36"/>
          <w:sz w:val="29"/>
          <w:szCs w:val="29"/>
          <w:lang w:eastAsia="ru-RU"/>
        </w:rPr>
      </w:pPr>
      <w:r w:rsidRPr="00952C4D">
        <w:rPr>
          <w:rFonts w:ascii="Arial" w:eastAsia="Times New Roman" w:hAnsi="Arial" w:cs="Arial"/>
          <w:b/>
          <w:bCs/>
          <w:color w:val="3B3B3B"/>
          <w:kern w:val="36"/>
          <w:sz w:val="29"/>
          <w:szCs w:val="29"/>
          <w:lang w:eastAsia="ru-RU"/>
        </w:rPr>
        <w:t>Приложение А</w:t>
      </w:r>
      <w:r w:rsidRPr="00952C4D">
        <w:rPr>
          <w:rFonts w:ascii="Arial" w:eastAsia="Times New Roman" w:hAnsi="Arial" w:cs="Arial"/>
          <w:b/>
          <w:bCs/>
          <w:color w:val="3B3B3B"/>
          <w:kern w:val="36"/>
          <w:sz w:val="29"/>
          <w:szCs w:val="29"/>
          <w:lang w:eastAsia="ru-RU"/>
        </w:rPr>
        <w:br/>
        <w:t>(обязательное)</w:t>
      </w:r>
    </w:p>
    <w:p w:rsidR="00177B0E" w:rsidRPr="00952C4D" w:rsidRDefault="00177B0E" w:rsidP="00177B0E">
      <w:pPr>
        <w:shd w:val="clear" w:color="auto" w:fill="FFFFFF"/>
        <w:spacing w:after="0" w:line="240" w:lineRule="auto"/>
        <w:jc w:val="center"/>
        <w:outlineLvl w:val="0"/>
        <w:rPr>
          <w:rFonts w:ascii="Arial" w:eastAsia="Times New Roman" w:hAnsi="Arial" w:cs="Arial"/>
          <w:b/>
          <w:bCs/>
          <w:color w:val="3B3B3B"/>
          <w:kern w:val="36"/>
          <w:sz w:val="29"/>
          <w:szCs w:val="29"/>
          <w:lang w:eastAsia="ru-RU"/>
        </w:rPr>
      </w:pPr>
      <w:r w:rsidRPr="00952C4D">
        <w:rPr>
          <w:rFonts w:ascii="Arial" w:eastAsia="Times New Roman" w:hAnsi="Arial" w:cs="Arial"/>
          <w:b/>
          <w:bCs/>
          <w:color w:val="3B3B3B"/>
          <w:kern w:val="36"/>
          <w:sz w:val="29"/>
          <w:szCs w:val="29"/>
          <w:lang w:eastAsia="ru-RU"/>
        </w:rPr>
        <w:t>Перечень нормативных документов</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Федеральный закон от 15 апреля 1998 г. № </w:t>
      </w:r>
      <w:r w:rsidR="00591E11" w:rsidRPr="00952C4D">
        <w:rPr>
          <w:rFonts w:ascii="Arial" w:eastAsia="Times New Roman" w:hAnsi="Arial" w:cs="Arial"/>
          <w:color w:val="3B3B3B"/>
          <w:sz w:val="21"/>
          <w:szCs w:val="21"/>
          <w:lang w:eastAsia="ru-RU"/>
        </w:rPr>
        <w:t>66-ФЗ</w:t>
      </w:r>
      <w:r w:rsidRPr="00952C4D">
        <w:rPr>
          <w:rFonts w:ascii="Arial" w:eastAsia="Times New Roman" w:hAnsi="Arial" w:cs="Arial"/>
          <w:color w:val="3B3B3B"/>
          <w:sz w:val="21"/>
          <w:szCs w:val="21"/>
          <w:lang w:eastAsia="ru-RU"/>
        </w:rPr>
        <w:t> «О садоводческих, огороднических и дачных некоммерческих объединениях граждан».</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Федеральный закон от 22 июля 2008 г. № </w:t>
      </w:r>
      <w:r w:rsidR="00591E11" w:rsidRPr="00952C4D">
        <w:rPr>
          <w:rFonts w:ascii="Arial" w:eastAsia="Times New Roman" w:hAnsi="Arial" w:cs="Arial"/>
          <w:color w:val="3B3B3B"/>
          <w:sz w:val="21"/>
          <w:szCs w:val="21"/>
          <w:lang w:eastAsia="ru-RU"/>
        </w:rPr>
        <w:t>123-ФЗ</w:t>
      </w:r>
      <w:r w:rsidRPr="00952C4D">
        <w:rPr>
          <w:rFonts w:ascii="Arial" w:eastAsia="Times New Roman" w:hAnsi="Arial" w:cs="Arial"/>
          <w:color w:val="3B3B3B"/>
          <w:sz w:val="21"/>
          <w:szCs w:val="21"/>
          <w:lang w:eastAsia="ru-RU"/>
        </w:rPr>
        <w:t> «Технический регламент о требованиях пожарной безопасности».</w:t>
      </w:r>
    </w:p>
    <w:p w:rsidR="00177B0E" w:rsidRPr="00952C4D" w:rsidRDefault="00591E11"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Градостроительный кодекс Российской Федерации</w:t>
      </w:r>
      <w:r w:rsidR="00177B0E" w:rsidRPr="00952C4D">
        <w:rPr>
          <w:rFonts w:ascii="Arial" w:eastAsia="Times New Roman" w:hAnsi="Arial" w:cs="Arial"/>
          <w:color w:val="3B3B3B"/>
          <w:sz w:val="21"/>
          <w:szCs w:val="21"/>
          <w:lang w:eastAsia="ru-RU"/>
        </w:rPr>
        <w:t>.</w:t>
      </w:r>
    </w:p>
    <w:p w:rsidR="00177B0E" w:rsidRPr="00952C4D" w:rsidRDefault="00591E11"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Водный кодекс Российской Федерации</w:t>
      </w:r>
      <w:r w:rsidR="00177B0E" w:rsidRPr="00952C4D">
        <w:rPr>
          <w:rFonts w:ascii="Arial" w:eastAsia="Times New Roman" w:hAnsi="Arial" w:cs="Arial"/>
          <w:color w:val="3B3B3B"/>
          <w:sz w:val="21"/>
          <w:szCs w:val="21"/>
          <w:lang w:eastAsia="ru-RU"/>
        </w:rPr>
        <w:t>.</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СП 30.13330.2010 «СНиП 2.04.01-85* Внутренний водопровод и канализация зданий»</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СП 31.13330.2010 «СНиП 2.04.02-84* Водоснабжение. Наружные сети и сооружения»</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СП 32.13330.2010 «СНиП 2.04.03-85 Канализация. Наружные сети и сооружения»</w:t>
      </w:r>
    </w:p>
    <w:p w:rsidR="00177B0E" w:rsidRPr="00952C4D" w:rsidRDefault="00591E11"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СНиП 2.05.13-90</w:t>
      </w:r>
      <w:r w:rsidR="00177B0E" w:rsidRPr="00952C4D">
        <w:rPr>
          <w:rFonts w:ascii="Arial" w:eastAsia="Times New Roman" w:hAnsi="Arial" w:cs="Arial"/>
          <w:color w:val="3B3B3B"/>
          <w:sz w:val="21"/>
          <w:szCs w:val="21"/>
          <w:lang w:eastAsia="ru-RU"/>
        </w:rPr>
        <w:t> Нефтепродуктопроводы, прокладываемые на территории городов и других населенных пунктов</w:t>
      </w:r>
    </w:p>
    <w:p w:rsidR="00177B0E" w:rsidRPr="00952C4D" w:rsidRDefault="00591E11"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lastRenderedPageBreak/>
        <w:t>СП 62.13330.2011</w:t>
      </w:r>
      <w:r w:rsidR="00177B0E" w:rsidRPr="00952C4D">
        <w:rPr>
          <w:rFonts w:ascii="Arial" w:eastAsia="Times New Roman" w:hAnsi="Arial" w:cs="Arial"/>
          <w:color w:val="3B3B3B"/>
          <w:sz w:val="21"/>
          <w:szCs w:val="21"/>
          <w:lang w:eastAsia="ru-RU"/>
        </w:rPr>
        <w:t> «СНиП 42-01-2002 Газораспределительные системы»</w:t>
      </w:r>
    </w:p>
    <w:p w:rsidR="00177B0E" w:rsidRPr="00952C4D" w:rsidRDefault="00591E11"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СП 55.13330.2011</w:t>
      </w:r>
      <w:r w:rsidR="00177B0E" w:rsidRPr="00952C4D">
        <w:rPr>
          <w:rFonts w:ascii="Arial" w:eastAsia="Times New Roman" w:hAnsi="Arial" w:cs="Arial"/>
          <w:color w:val="3B3B3B"/>
          <w:sz w:val="21"/>
          <w:szCs w:val="21"/>
          <w:lang w:eastAsia="ru-RU"/>
        </w:rPr>
        <w:t> «СНиП 31-02-2001. Дома жилые одноквартирные»</w:t>
      </w:r>
    </w:p>
    <w:p w:rsidR="00177B0E" w:rsidRPr="00952C4D" w:rsidRDefault="00591E11"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СанПиН 2.1.4.1175-02</w:t>
      </w:r>
      <w:r w:rsidR="00177B0E" w:rsidRPr="00952C4D">
        <w:rPr>
          <w:rFonts w:ascii="Arial" w:eastAsia="Times New Roman" w:hAnsi="Arial" w:cs="Arial"/>
          <w:color w:val="3B3B3B"/>
          <w:sz w:val="21"/>
          <w:szCs w:val="21"/>
          <w:lang w:eastAsia="ru-RU"/>
        </w:rPr>
        <w:t> Зоны санитарной охраны источников водоснабжения и водопроводов хозяйственно-питьевого назначения</w:t>
      </w:r>
    </w:p>
    <w:p w:rsidR="00177B0E" w:rsidRPr="00952C4D" w:rsidRDefault="00591E11"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СанПиН 2.1.4.1175-02</w:t>
      </w:r>
      <w:r w:rsidR="00177B0E" w:rsidRPr="00952C4D">
        <w:rPr>
          <w:rFonts w:ascii="Arial" w:eastAsia="Times New Roman" w:hAnsi="Arial" w:cs="Arial"/>
          <w:color w:val="3B3B3B"/>
          <w:sz w:val="21"/>
          <w:szCs w:val="21"/>
          <w:lang w:eastAsia="ru-RU"/>
        </w:rPr>
        <w:t> Требования к качеству воды нецентрализованного водоснабжения, санитарная охрана источников</w:t>
      </w:r>
    </w:p>
    <w:p w:rsidR="00177B0E" w:rsidRPr="00952C4D" w:rsidRDefault="00591E11"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СанПиН 2.1.4.1074-01</w:t>
      </w:r>
      <w:r w:rsidR="00177B0E" w:rsidRPr="00952C4D">
        <w:rPr>
          <w:rFonts w:ascii="Arial" w:eastAsia="Times New Roman" w:hAnsi="Arial" w:cs="Arial"/>
          <w:color w:val="3B3B3B"/>
          <w:sz w:val="21"/>
          <w:szCs w:val="21"/>
          <w:lang w:eastAsia="ru-RU"/>
        </w:rPr>
        <w:t> Питьевая вода. Гигиенические требования к качеству воды централизованных систем питьевого водоснабжения. Контроль качества</w:t>
      </w:r>
    </w:p>
    <w:p w:rsidR="00177B0E" w:rsidRPr="00952C4D" w:rsidRDefault="00591E11"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СанПиН 2.2.1/2.1.1.1200-03</w:t>
      </w:r>
      <w:r w:rsidR="00177B0E" w:rsidRPr="00952C4D">
        <w:rPr>
          <w:rFonts w:ascii="Arial" w:eastAsia="Times New Roman" w:hAnsi="Arial" w:cs="Arial"/>
          <w:color w:val="3B3B3B"/>
          <w:sz w:val="21"/>
          <w:szCs w:val="21"/>
          <w:lang w:eastAsia="ru-RU"/>
        </w:rPr>
        <w:t> Санитарно-защитные зоны и санитарная классификация предприятий, сооружений и иных объектов</w:t>
      </w:r>
    </w:p>
    <w:p w:rsidR="00177B0E" w:rsidRPr="00952C4D" w:rsidRDefault="00177B0E" w:rsidP="00177B0E">
      <w:pPr>
        <w:shd w:val="clear" w:color="auto" w:fill="FFFFFF"/>
        <w:spacing w:after="0" w:line="240" w:lineRule="auto"/>
        <w:jc w:val="center"/>
        <w:outlineLvl w:val="0"/>
        <w:rPr>
          <w:rFonts w:ascii="Arial" w:eastAsia="Times New Roman" w:hAnsi="Arial" w:cs="Arial"/>
          <w:b/>
          <w:bCs/>
          <w:color w:val="3B3B3B"/>
          <w:kern w:val="36"/>
          <w:sz w:val="29"/>
          <w:szCs w:val="29"/>
          <w:lang w:eastAsia="ru-RU"/>
        </w:rPr>
      </w:pPr>
      <w:r w:rsidRPr="00952C4D">
        <w:rPr>
          <w:rFonts w:ascii="Arial" w:eastAsia="Times New Roman" w:hAnsi="Arial" w:cs="Arial"/>
          <w:b/>
          <w:bCs/>
          <w:color w:val="3B3B3B"/>
          <w:kern w:val="36"/>
          <w:sz w:val="29"/>
          <w:szCs w:val="29"/>
          <w:lang w:eastAsia="ru-RU"/>
        </w:rPr>
        <w:t>Приложение Б</w:t>
      </w:r>
      <w:r w:rsidRPr="00952C4D">
        <w:rPr>
          <w:rFonts w:ascii="Arial" w:eastAsia="Times New Roman" w:hAnsi="Arial" w:cs="Arial"/>
          <w:b/>
          <w:bCs/>
          <w:color w:val="3B3B3B"/>
          <w:kern w:val="36"/>
          <w:sz w:val="29"/>
          <w:szCs w:val="29"/>
          <w:lang w:eastAsia="ru-RU"/>
        </w:rPr>
        <w:br/>
        <w:t>(справочное)</w:t>
      </w:r>
    </w:p>
    <w:p w:rsidR="00177B0E" w:rsidRPr="00952C4D" w:rsidRDefault="00177B0E" w:rsidP="00177B0E">
      <w:pPr>
        <w:shd w:val="clear" w:color="auto" w:fill="FFFFFF"/>
        <w:spacing w:after="0" w:line="240" w:lineRule="auto"/>
        <w:jc w:val="center"/>
        <w:outlineLvl w:val="0"/>
        <w:rPr>
          <w:rFonts w:ascii="Arial" w:eastAsia="Times New Roman" w:hAnsi="Arial" w:cs="Arial"/>
          <w:b/>
          <w:bCs/>
          <w:color w:val="3B3B3B"/>
          <w:kern w:val="36"/>
          <w:sz w:val="29"/>
          <w:szCs w:val="29"/>
          <w:lang w:eastAsia="ru-RU"/>
        </w:rPr>
      </w:pPr>
      <w:r w:rsidRPr="00952C4D">
        <w:rPr>
          <w:rFonts w:ascii="Arial" w:eastAsia="Times New Roman" w:hAnsi="Arial" w:cs="Arial"/>
          <w:b/>
          <w:bCs/>
          <w:color w:val="3B3B3B"/>
          <w:kern w:val="36"/>
          <w:sz w:val="29"/>
          <w:szCs w:val="29"/>
          <w:lang w:eastAsia="ru-RU"/>
        </w:rPr>
        <w:t>Термины и определения</w:t>
      </w:r>
    </w:p>
    <w:p w:rsidR="00177B0E" w:rsidRPr="00952C4D" w:rsidRDefault="00177B0E" w:rsidP="00177B0E">
      <w:pPr>
        <w:shd w:val="clear" w:color="auto" w:fill="FFFFFF"/>
        <w:spacing w:before="90" w:after="9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Применяемые в настоящем нормативном документе термины и их определения приведены ниже:</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биотуалет: </w:t>
      </w:r>
      <w:r w:rsidRPr="00952C4D">
        <w:rPr>
          <w:rFonts w:ascii="Arial" w:eastAsia="Times New Roman" w:hAnsi="Arial" w:cs="Arial"/>
          <w:color w:val="3B3B3B"/>
          <w:sz w:val="21"/>
          <w:szCs w:val="21"/>
          <w:lang w:eastAsia="ru-RU"/>
        </w:rPr>
        <w:t xml:space="preserve">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952C4D">
        <w:rPr>
          <w:rFonts w:ascii="Arial" w:eastAsia="Times New Roman" w:hAnsi="Arial" w:cs="Arial"/>
          <w:color w:val="3B3B3B"/>
          <w:sz w:val="21"/>
          <w:szCs w:val="21"/>
          <w:lang w:eastAsia="ru-RU"/>
        </w:rPr>
        <w:t>электроподогревом</w:t>
      </w:r>
      <w:proofErr w:type="spellEnd"/>
      <w:r w:rsidRPr="00952C4D">
        <w:rPr>
          <w:rFonts w:ascii="Arial" w:eastAsia="Times New Roman" w:hAnsi="Arial" w:cs="Arial"/>
          <w:color w:val="3B3B3B"/>
          <w:sz w:val="21"/>
          <w:szCs w:val="21"/>
          <w:lang w:eastAsia="ru-RU"/>
        </w:rPr>
        <w:t xml:space="preserve"> или химическими добавками;</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веранда: </w:t>
      </w:r>
      <w:r w:rsidRPr="00952C4D">
        <w:rPr>
          <w:rFonts w:ascii="Arial" w:eastAsia="Times New Roman" w:hAnsi="Arial" w:cs="Arial"/>
          <w:color w:val="3B3B3B"/>
          <w:sz w:val="21"/>
          <w:szCs w:val="21"/>
          <w:lang w:eastAsia="ru-RU"/>
        </w:rPr>
        <w:t>Застекленное неотапливаемое помещение с крышей, пристроенное к дому или встроенное в него;</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дачный земельный участок: </w:t>
      </w:r>
      <w:r w:rsidRPr="00952C4D">
        <w:rPr>
          <w:rFonts w:ascii="Arial" w:eastAsia="Times New Roman" w:hAnsi="Arial" w:cs="Arial"/>
          <w:color w:val="3B3B3B"/>
          <w:sz w:val="21"/>
          <w:szCs w:val="21"/>
          <w:lang w:eastAsia="ru-RU"/>
        </w:rPr>
        <w:t>Земельный участок, предоставленный гражданину или приобретенный им в целях отдыха (с правом возведения жилого строения или жилого дома, хозяйственных строений и сооружений, а также с правом выращивания сельскохозяйственных культур);</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жилое строение: </w:t>
      </w:r>
      <w:r w:rsidRPr="00952C4D">
        <w:rPr>
          <w:rFonts w:ascii="Arial" w:eastAsia="Times New Roman" w:hAnsi="Arial" w:cs="Arial"/>
          <w:color w:val="3B3B3B"/>
          <w:sz w:val="21"/>
          <w:szCs w:val="21"/>
          <w:lang w:eastAsia="ru-RU"/>
        </w:rPr>
        <w:t>Здание, возводимое на садовом, дачном земельном участке для временного проживания без права регистрации;</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proofErr w:type="gramStart"/>
      <w:r w:rsidRPr="00952C4D">
        <w:rPr>
          <w:rFonts w:ascii="Arial" w:eastAsia="Times New Roman" w:hAnsi="Arial" w:cs="Arial"/>
          <w:b/>
          <w:bCs/>
          <w:color w:val="3B3B3B"/>
          <w:sz w:val="21"/>
          <w:szCs w:val="21"/>
          <w:lang w:eastAsia="ru-RU"/>
        </w:rPr>
        <w:t>жилой</w:t>
      </w:r>
      <w:proofErr w:type="gramEnd"/>
      <w:r w:rsidRPr="00952C4D">
        <w:rPr>
          <w:rFonts w:ascii="Arial" w:eastAsia="Times New Roman" w:hAnsi="Arial" w:cs="Arial"/>
          <w:b/>
          <w:bCs/>
          <w:color w:val="3B3B3B"/>
          <w:sz w:val="21"/>
          <w:szCs w:val="21"/>
          <w:lang w:eastAsia="ru-RU"/>
        </w:rPr>
        <w:t xml:space="preserve"> дом: </w:t>
      </w:r>
      <w:r w:rsidRPr="00952C4D">
        <w:rPr>
          <w:rFonts w:ascii="Arial" w:eastAsia="Times New Roman" w:hAnsi="Arial" w:cs="Arial"/>
          <w:color w:val="3B3B3B"/>
          <w:sz w:val="21"/>
          <w:szCs w:val="21"/>
          <w:lang w:eastAsia="ru-RU"/>
        </w:rPr>
        <w:t>Здание, возводимое на дачном земельном участке для временного или постоянного проживания с правом регистрации;</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каптаж: </w:t>
      </w:r>
      <w:r w:rsidRPr="00952C4D">
        <w:rPr>
          <w:rFonts w:ascii="Arial" w:eastAsia="Times New Roman" w:hAnsi="Arial" w:cs="Arial"/>
          <w:color w:val="3B3B3B"/>
          <w:sz w:val="21"/>
          <w:szCs w:val="21"/>
          <w:lang w:eastAsia="ru-RU"/>
        </w:rPr>
        <w:t>Сооружение (каменная наброска, колодец, траншея) для перехвата и сбора подземных вод в местах их вывода на поверхность;</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красные линии: </w:t>
      </w:r>
      <w:r w:rsidRPr="00952C4D">
        <w:rPr>
          <w:rFonts w:ascii="Arial" w:eastAsia="Times New Roman" w:hAnsi="Arial" w:cs="Arial"/>
          <w:color w:val="3B3B3B"/>
          <w:sz w:val="21"/>
          <w:szCs w:val="21"/>
          <w:lang w:eastAsia="ru-RU"/>
        </w:rPr>
        <w:t>Границы улиц, проездов по линиям ограждений садовых и дачных участков;</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крыльцо: </w:t>
      </w:r>
      <w:r w:rsidRPr="00952C4D">
        <w:rPr>
          <w:rFonts w:ascii="Arial" w:eastAsia="Times New Roman" w:hAnsi="Arial" w:cs="Arial"/>
          <w:color w:val="3B3B3B"/>
          <w:sz w:val="21"/>
          <w:szCs w:val="21"/>
          <w:lang w:eastAsia="ru-RU"/>
        </w:rPr>
        <w:t>Наружная пристройка при входе в дом с площадкой и лестницей;</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люфт-клозет: </w:t>
      </w:r>
      <w:r w:rsidRPr="00952C4D">
        <w:rPr>
          <w:rFonts w:ascii="Arial" w:eastAsia="Times New Roman" w:hAnsi="Arial" w:cs="Arial"/>
          <w:color w:val="3B3B3B"/>
          <w:sz w:val="21"/>
          <w:szCs w:val="21"/>
          <w:lang w:eastAsia="ru-RU"/>
        </w:rPr>
        <w:t>Внутридомовая теплая уборная с подземным выгребом, в который фекалии поступают через сточную (фановую) трубу. Вентиляция осуществляется через специальный люфт-канал, примыкающий к обогревательным устройствам, а выгребной люк располагается снаружи;</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надворная уборная: </w:t>
      </w:r>
      <w:r w:rsidRPr="00952C4D">
        <w:rPr>
          <w:rFonts w:ascii="Arial" w:eastAsia="Times New Roman" w:hAnsi="Arial" w:cs="Arial"/>
          <w:color w:val="3B3B3B"/>
          <w:sz w:val="21"/>
          <w:szCs w:val="21"/>
          <w:lang w:eastAsia="ru-RU"/>
        </w:rPr>
        <w:t>Легкая постройка, размещаемая над выгребной ямой;</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общая площадь жилого строения, жилого дома: </w:t>
      </w:r>
      <w:r w:rsidRPr="00952C4D">
        <w:rPr>
          <w:rFonts w:ascii="Arial" w:eastAsia="Times New Roman" w:hAnsi="Arial" w:cs="Arial"/>
          <w:color w:val="3B3B3B"/>
          <w:sz w:val="21"/>
          <w:szCs w:val="21"/>
          <w:lang w:eastAsia="ru-RU"/>
        </w:rPr>
        <w:t xml:space="preserve">Сумма площадей его помещений, встроенных шкафов, а также лоджий, балконов, веранд, террас и холодных кладовых, подсчитываемых со следующими понижающими коэффициентами: для лоджий - 0,5, для </w:t>
      </w:r>
      <w:r w:rsidRPr="00952C4D">
        <w:rPr>
          <w:rFonts w:ascii="Arial" w:eastAsia="Times New Roman" w:hAnsi="Arial" w:cs="Arial"/>
          <w:color w:val="3B3B3B"/>
          <w:sz w:val="21"/>
          <w:szCs w:val="21"/>
          <w:lang w:eastAsia="ru-RU"/>
        </w:rPr>
        <w:lastRenderedPageBreak/>
        <w:t>балконов и террас - 0,3, для веранд и холодных кладовых - 1,0; площадь, занимаемая печью, в площадь помещений не включается. Площадь под маршем внутриквартирной лестницы при высоте от пола до низа выступающих конструкций 1,6 м и более включается в площадь помещений, где расположена лестница;</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проезд: </w:t>
      </w:r>
      <w:r w:rsidRPr="00952C4D">
        <w:rPr>
          <w:rFonts w:ascii="Arial" w:eastAsia="Times New Roman" w:hAnsi="Arial" w:cs="Arial"/>
          <w:color w:val="3B3B3B"/>
          <w:sz w:val="21"/>
          <w:szCs w:val="21"/>
          <w:lang w:eastAsia="ru-RU"/>
        </w:rPr>
        <w:t>Территория, предназначенная для движения транспорта и пешеходов, включающая однополосную проезжую часть, обочины, кюветы и укрепляющие бермы.</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пудр-клозет: </w:t>
      </w:r>
      <w:r w:rsidRPr="00952C4D">
        <w:rPr>
          <w:rFonts w:ascii="Arial" w:eastAsia="Times New Roman" w:hAnsi="Arial" w:cs="Arial"/>
          <w:color w:val="3B3B3B"/>
          <w:sz w:val="21"/>
          <w:szCs w:val="21"/>
          <w:lang w:eastAsia="ru-RU"/>
        </w:rPr>
        <w:t>Туалет, в котором фекальные отходы подвергаются обработке порошкообразным составом, как правило, торфом и содержатся в сухом виде, в изолированной емкости (осмоленный ящик с крышкой) до образования компоста;</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садоводческое или дачное объединение граждан: </w:t>
      </w:r>
      <w:r w:rsidRPr="00952C4D">
        <w:rPr>
          <w:rFonts w:ascii="Arial" w:eastAsia="Times New Roman" w:hAnsi="Arial" w:cs="Arial"/>
          <w:color w:val="3B3B3B"/>
          <w:sz w:val="21"/>
          <w:szCs w:val="21"/>
          <w:lang w:eastAsia="ru-RU"/>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или дачного хозяйства;</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садовый земельный участок: </w:t>
      </w:r>
      <w:r w:rsidRPr="00952C4D">
        <w:rPr>
          <w:rFonts w:ascii="Arial" w:eastAsia="Times New Roman" w:hAnsi="Arial" w:cs="Arial"/>
          <w:color w:val="3B3B3B"/>
          <w:sz w:val="21"/>
          <w:szCs w:val="21"/>
          <w:lang w:eastAsia="ru-RU"/>
        </w:rPr>
        <w:t>Земельный участок, предоставленный гражданину или приобретенный им для выращивания сельскохозяйственных культур, а также для отдыха (с правом возведения жилого строения, хозяйственных строений и сооружений);</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терраса: </w:t>
      </w:r>
      <w:r w:rsidRPr="00952C4D">
        <w:rPr>
          <w:rFonts w:ascii="Arial" w:eastAsia="Times New Roman" w:hAnsi="Arial" w:cs="Arial"/>
          <w:color w:val="3B3B3B"/>
          <w:sz w:val="21"/>
          <w:szCs w:val="21"/>
          <w:lang w:eastAsia="ru-RU"/>
        </w:rPr>
        <w:t>Огражденная открытая площадка, пристроенная к дому, размещаемая на земле или над нижерасположенным этажом и, как правило, имеющая крышу;</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территория общего пользования: </w:t>
      </w:r>
      <w:r w:rsidRPr="00952C4D">
        <w:rPr>
          <w:rFonts w:ascii="Arial" w:eastAsia="Times New Roman" w:hAnsi="Arial" w:cs="Arial"/>
          <w:color w:val="3B3B3B"/>
          <w:sz w:val="21"/>
          <w:szCs w:val="21"/>
          <w:lang w:eastAsia="ru-RU"/>
        </w:rPr>
        <w:t>Территории, которыми беспрепятственно пользуется неограниченный круг лиц;</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улица: </w:t>
      </w:r>
      <w:r w:rsidRPr="00952C4D">
        <w:rPr>
          <w:rFonts w:ascii="Arial" w:eastAsia="Times New Roman" w:hAnsi="Arial" w:cs="Arial"/>
          <w:color w:val="3B3B3B"/>
          <w:sz w:val="21"/>
          <w:szCs w:val="21"/>
          <w:lang w:eastAsia="ru-RU"/>
        </w:rPr>
        <w:t xml:space="preserve">Территория общего пользования, предназначенная для движения транспорта и пешеходов, включающая </w:t>
      </w:r>
      <w:proofErr w:type="spellStart"/>
      <w:r w:rsidRPr="00952C4D">
        <w:rPr>
          <w:rFonts w:ascii="Arial" w:eastAsia="Times New Roman" w:hAnsi="Arial" w:cs="Arial"/>
          <w:color w:val="3B3B3B"/>
          <w:sz w:val="21"/>
          <w:szCs w:val="21"/>
          <w:lang w:eastAsia="ru-RU"/>
        </w:rPr>
        <w:t>двуполосную</w:t>
      </w:r>
      <w:proofErr w:type="spellEnd"/>
      <w:r w:rsidRPr="00952C4D">
        <w:rPr>
          <w:rFonts w:ascii="Arial" w:eastAsia="Times New Roman" w:hAnsi="Arial" w:cs="Arial"/>
          <w:color w:val="3B3B3B"/>
          <w:sz w:val="21"/>
          <w:szCs w:val="21"/>
          <w:lang w:eastAsia="ru-RU"/>
        </w:rPr>
        <w:t xml:space="preserve"> проезжую часть, обочины, кюветы и укрепляющие бермы.</w:t>
      </w:r>
    </w:p>
    <w:p w:rsidR="00177B0E" w:rsidRPr="00952C4D" w:rsidRDefault="00177B0E" w:rsidP="00177B0E">
      <w:pPr>
        <w:shd w:val="clear" w:color="auto" w:fill="FFFFFF"/>
        <w:spacing w:after="0" w:line="240" w:lineRule="auto"/>
        <w:jc w:val="center"/>
        <w:outlineLvl w:val="0"/>
        <w:rPr>
          <w:rFonts w:ascii="Arial" w:eastAsia="Times New Roman" w:hAnsi="Arial" w:cs="Arial"/>
          <w:b/>
          <w:bCs/>
          <w:color w:val="3B3B3B"/>
          <w:kern w:val="36"/>
          <w:sz w:val="29"/>
          <w:szCs w:val="29"/>
          <w:lang w:eastAsia="ru-RU"/>
        </w:rPr>
      </w:pPr>
      <w:r w:rsidRPr="00952C4D">
        <w:rPr>
          <w:rFonts w:ascii="Arial" w:eastAsia="Times New Roman" w:hAnsi="Arial" w:cs="Arial"/>
          <w:b/>
          <w:bCs/>
          <w:color w:val="3B3B3B"/>
          <w:kern w:val="36"/>
          <w:sz w:val="29"/>
          <w:szCs w:val="29"/>
          <w:lang w:eastAsia="ru-RU"/>
        </w:rPr>
        <w:t>Библиография</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[1] </w:t>
      </w:r>
      <w:r w:rsidR="00591E11" w:rsidRPr="00952C4D">
        <w:rPr>
          <w:rFonts w:ascii="Arial" w:eastAsia="Times New Roman" w:hAnsi="Arial" w:cs="Arial"/>
          <w:color w:val="3B3B3B"/>
          <w:sz w:val="21"/>
          <w:szCs w:val="21"/>
          <w:lang w:eastAsia="ru-RU"/>
        </w:rPr>
        <w:t>СП 11-106-97</w:t>
      </w:r>
      <w:r w:rsidRPr="00952C4D">
        <w:rPr>
          <w:rFonts w:ascii="Arial" w:eastAsia="Times New Roman" w:hAnsi="Arial" w:cs="Arial"/>
          <w:color w:val="3B3B3B"/>
          <w:sz w:val="21"/>
          <w:szCs w:val="21"/>
          <w:lang w:eastAsia="ru-RU"/>
        </w:rPr>
        <w:t>*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[2] </w:t>
      </w:r>
      <w:r w:rsidR="003073BA" w:rsidRPr="00952C4D">
        <w:rPr>
          <w:rFonts w:ascii="Arial" w:eastAsia="Times New Roman" w:hAnsi="Arial" w:cs="Arial"/>
          <w:color w:val="3B3B3B"/>
          <w:sz w:val="21"/>
          <w:szCs w:val="21"/>
          <w:lang w:eastAsia="ru-RU"/>
        </w:rPr>
        <w:t>ПУЭ</w:t>
      </w:r>
      <w:r w:rsidRPr="00952C4D">
        <w:rPr>
          <w:rFonts w:ascii="Arial" w:eastAsia="Times New Roman" w:hAnsi="Arial" w:cs="Arial"/>
          <w:color w:val="3B3B3B"/>
          <w:sz w:val="21"/>
          <w:szCs w:val="21"/>
          <w:lang w:eastAsia="ru-RU"/>
        </w:rPr>
        <w:t> Правила устройства электроустановок</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[3] </w:t>
      </w:r>
      <w:r w:rsidR="003073BA" w:rsidRPr="00952C4D">
        <w:rPr>
          <w:rFonts w:ascii="Arial" w:eastAsia="Times New Roman" w:hAnsi="Arial" w:cs="Arial"/>
          <w:color w:val="3B3B3B"/>
          <w:sz w:val="21"/>
          <w:szCs w:val="21"/>
          <w:lang w:eastAsia="ru-RU"/>
        </w:rPr>
        <w:t xml:space="preserve">Правила безопасности в газовом хозяйстве </w:t>
      </w:r>
    </w:p>
    <w:p w:rsidR="00177B0E" w:rsidRPr="00952C4D" w:rsidRDefault="00177B0E" w:rsidP="00177B0E">
      <w:pPr>
        <w:shd w:val="clear" w:color="auto" w:fill="FFFFFF"/>
        <w:spacing w:after="0" w:line="360" w:lineRule="atLeast"/>
        <w:rPr>
          <w:rFonts w:ascii="Arial" w:eastAsia="Times New Roman" w:hAnsi="Arial" w:cs="Arial"/>
          <w:color w:val="3B3B3B"/>
          <w:sz w:val="21"/>
          <w:szCs w:val="21"/>
          <w:lang w:eastAsia="ru-RU"/>
        </w:rPr>
      </w:pPr>
      <w:r w:rsidRPr="00952C4D">
        <w:rPr>
          <w:rFonts w:ascii="Arial" w:eastAsia="Times New Roman" w:hAnsi="Arial" w:cs="Arial"/>
          <w:color w:val="3B3B3B"/>
          <w:sz w:val="21"/>
          <w:szCs w:val="21"/>
          <w:lang w:eastAsia="ru-RU"/>
        </w:rPr>
        <w:t>[4] </w:t>
      </w:r>
      <w:r w:rsidR="003073BA" w:rsidRPr="00952C4D">
        <w:rPr>
          <w:rFonts w:ascii="Arial" w:eastAsia="Times New Roman" w:hAnsi="Arial" w:cs="Arial"/>
          <w:color w:val="3B3B3B"/>
          <w:sz w:val="21"/>
          <w:szCs w:val="21"/>
          <w:lang w:eastAsia="ru-RU"/>
        </w:rPr>
        <w:t>СО 153-34.21.122-2003</w:t>
      </w:r>
      <w:r w:rsidRPr="00952C4D">
        <w:rPr>
          <w:rFonts w:ascii="Arial" w:eastAsia="Times New Roman" w:hAnsi="Arial" w:cs="Arial"/>
          <w:color w:val="3B3B3B"/>
          <w:sz w:val="21"/>
          <w:szCs w:val="21"/>
          <w:lang w:eastAsia="ru-RU"/>
        </w:rPr>
        <w:t xml:space="preserve"> Инструкция по устройству </w:t>
      </w:r>
      <w:proofErr w:type="spellStart"/>
      <w:r w:rsidRPr="00952C4D">
        <w:rPr>
          <w:rFonts w:ascii="Arial" w:eastAsia="Times New Roman" w:hAnsi="Arial" w:cs="Arial"/>
          <w:color w:val="3B3B3B"/>
          <w:sz w:val="21"/>
          <w:szCs w:val="21"/>
          <w:lang w:eastAsia="ru-RU"/>
        </w:rPr>
        <w:t>молниезащиты</w:t>
      </w:r>
      <w:proofErr w:type="spellEnd"/>
      <w:r w:rsidRPr="00952C4D">
        <w:rPr>
          <w:rFonts w:ascii="Arial" w:eastAsia="Times New Roman" w:hAnsi="Arial" w:cs="Arial"/>
          <w:color w:val="3B3B3B"/>
          <w:sz w:val="21"/>
          <w:szCs w:val="21"/>
          <w:lang w:eastAsia="ru-RU"/>
        </w:rPr>
        <w:t xml:space="preserve"> зданий и сооружений</w:t>
      </w:r>
    </w:p>
    <w:p w:rsidR="00177B0E" w:rsidRPr="00952C4D" w:rsidRDefault="00177B0E" w:rsidP="00177B0E">
      <w:pPr>
        <w:shd w:val="clear" w:color="auto" w:fill="FFFFFF"/>
        <w:spacing w:after="150" w:line="360" w:lineRule="atLeast"/>
        <w:rPr>
          <w:rFonts w:ascii="Arial" w:eastAsia="Times New Roman" w:hAnsi="Arial" w:cs="Arial"/>
          <w:color w:val="3B3B3B"/>
          <w:sz w:val="21"/>
          <w:szCs w:val="21"/>
          <w:lang w:eastAsia="ru-RU"/>
        </w:rPr>
      </w:pPr>
      <w:r w:rsidRPr="00952C4D">
        <w:rPr>
          <w:rFonts w:ascii="Arial" w:eastAsia="Times New Roman" w:hAnsi="Arial" w:cs="Arial"/>
          <w:b/>
          <w:bCs/>
          <w:color w:val="3B3B3B"/>
          <w:sz w:val="21"/>
          <w:szCs w:val="21"/>
          <w:lang w:eastAsia="ru-RU"/>
        </w:rPr>
        <w:t>Ключевые слова</w:t>
      </w:r>
      <w:r w:rsidRPr="00952C4D">
        <w:rPr>
          <w:rFonts w:ascii="Arial" w:eastAsia="Times New Roman" w:hAnsi="Arial" w:cs="Arial"/>
          <w:color w:val="3B3B3B"/>
          <w:sz w:val="21"/>
          <w:szCs w:val="21"/>
          <w:lang w:eastAsia="ru-RU"/>
        </w:rPr>
        <w:t>: садово-дачное объединение, территория садоводческого (дачного) объединения, садовый участок (дачный) участок, жилое строение (или дом), земли общего пользования</w:t>
      </w:r>
    </w:p>
    <w:p w:rsidR="005B28E7" w:rsidRPr="00952C4D" w:rsidRDefault="005B28E7">
      <w:pPr>
        <w:rPr>
          <w:rFonts w:ascii="Arial" w:hAnsi="Arial" w:cs="Arial"/>
        </w:rPr>
      </w:pPr>
    </w:p>
    <w:sectPr w:rsidR="005B28E7" w:rsidRPr="00952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3541E8"/>
    <w:multiLevelType w:val="hybridMultilevel"/>
    <w:tmpl w:val="436C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0E"/>
    <w:rsid w:val="00177B0E"/>
    <w:rsid w:val="00255FB4"/>
    <w:rsid w:val="003073BA"/>
    <w:rsid w:val="00591E11"/>
    <w:rsid w:val="005B28E7"/>
    <w:rsid w:val="00952C4D"/>
    <w:rsid w:val="00BF51F3"/>
    <w:rsid w:val="00EF4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FED8D-9CF5-41B3-843F-3442A8B0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165992">
      <w:bodyDiv w:val="1"/>
      <w:marLeft w:val="0"/>
      <w:marRight w:val="0"/>
      <w:marTop w:val="0"/>
      <w:marBottom w:val="0"/>
      <w:divBdr>
        <w:top w:val="none" w:sz="0" w:space="0" w:color="auto"/>
        <w:left w:val="none" w:sz="0" w:space="0" w:color="auto"/>
        <w:bottom w:val="none" w:sz="0" w:space="0" w:color="auto"/>
        <w:right w:val="none" w:sz="0" w:space="0" w:color="auto"/>
      </w:divBdr>
      <w:divsChild>
        <w:div w:id="1803114044">
          <w:marLeft w:val="0"/>
          <w:marRight w:val="0"/>
          <w:marTop w:val="0"/>
          <w:marBottom w:val="0"/>
          <w:divBdr>
            <w:top w:val="none" w:sz="0" w:space="0" w:color="auto"/>
            <w:left w:val="none" w:sz="0" w:space="0" w:color="auto"/>
            <w:bottom w:val="none" w:sz="0" w:space="0" w:color="auto"/>
            <w:right w:val="none" w:sz="0" w:space="0" w:color="auto"/>
          </w:divBdr>
          <w:divsChild>
            <w:div w:id="388304132">
              <w:marLeft w:val="0"/>
              <w:marRight w:val="0"/>
              <w:marTop w:val="0"/>
              <w:marBottom w:val="0"/>
              <w:divBdr>
                <w:top w:val="none" w:sz="0" w:space="0" w:color="auto"/>
                <w:left w:val="none" w:sz="0" w:space="0" w:color="auto"/>
                <w:bottom w:val="none" w:sz="0" w:space="0" w:color="auto"/>
                <w:right w:val="none" w:sz="0" w:space="0" w:color="auto"/>
              </w:divBdr>
              <w:divsChild>
                <w:div w:id="964963305">
                  <w:marLeft w:val="0"/>
                  <w:marRight w:val="0"/>
                  <w:marTop w:val="0"/>
                  <w:marBottom w:val="0"/>
                  <w:divBdr>
                    <w:top w:val="none" w:sz="0" w:space="0" w:color="auto"/>
                    <w:left w:val="none" w:sz="0" w:space="0" w:color="auto"/>
                    <w:bottom w:val="none" w:sz="0" w:space="0" w:color="auto"/>
                    <w:right w:val="none" w:sz="0" w:space="0" w:color="auto"/>
                  </w:divBdr>
                  <w:divsChild>
                    <w:div w:id="1191646801">
                      <w:marLeft w:val="0"/>
                      <w:marRight w:val="0"/>
                      <w:marTop w:val="0"/>
                      <w:marBottom w:val="150"/>
                      <w:divBdr>
                        <w:top w:val="single" w:sz="6" w:space="11" w:color="E6E6E6"/>
                        <w:left w:val="single" w:sz="6" w:space="11" w:color="E6E6E6"/>
                        <w:bottom w:val="single" w:sz="6" w:space="8" w:color="E6E6E6"/>
                        <w:right w:val="single" w:sz="6" w:space="9" w:color="E6E6E6"/>
                      </w:divBdr>
                      <w:divsChild>
                        <w:div w:id="890848796">
                          <w:marLeft w:val="0"/>
                          <w:marRight w:val="0"/>
                          <w:marTop w:val="0"/>
                          <w:marBottom w:val="0"/>
                          <w:divBdr>
                            <w:top w:val="none" w:sz="0" w:space="0" w:color="auto"/>
                            <w:left w:val="none" w:sz="0" w:space="0" w:color="auto"/>
                            <w:bottom w:val="none" w:sz="0" w:space="0" w:color="auto"/>
                            <w:right w:val="none" w:sz="0" w:space="0" w:color="auto"/>
                          </w:divBdr>
                          <w:divsChild>
                            <w:div w:id="877666698">
                              <w:marLeft w:val="0"/>
                              <w:marRight w:val="0"/>
                              <w:marTop w:val="0"/>
                              <w:marBottom w:val="0"/>
                              <w:divBdr>
                                <w:top w:val="none" w:sz="0" w:space="0" w:color="auto"/>
                                <w:left w:val="none" w:sz="0" w:space="0" w:color="auto"/>
                                <w:bottom w:val="none" w:sz="0" w:space="0" w:color="auto"/>
                                <w:right w:val="none" w:sz="0" w:space="0" w:color="auto"/>
                              </w:divBdr>
                              <w:divsChild>
                                <w:div w:id="902257445">
                                  <w:marLeft w:val="0"/>
                                  <w:marRight w:val="0"/>
                                  <w:marTop w:val="0"/>
                                  <w:marBottom w:val="0"/>
                                  <w:divBdr>
                                    <w:top w:val="none" w:sz="0" w:space="0" w:color="auto"/>
                                    <w:left w:val="none" w:sz="0" w:space="0" w:color="auto"/>
                                    <w:bottom w:val="none" w:sz="0" w:space="0" w:color="auto"/>
                                    <w:right w:val="none" w:sz="0" w:space="0" w:color="auto"/>
                                  </w:divBdr>
                                  <w:divsChild>
                                    <w:div w:id="116535324">
                                      <w:marLeft w:val="0"/>
                                      <w:marRight w:val="0"/>
                                      <w:marTop w:val="0"/>
                                      <w:marBottom w:val="0"/>
                                      <w:divBdr>
                                        <w:top w:val="none" w:sz="0" w:space="0" w:color="auto"/>
                                        <w:left w:val="none" w:sz="0" w:space="0" w:color="auto"/>
                                        <w:bottom w:val="none" w:sz="0" w:space="0" w:color="auto"/>
                                        <w:right w:val="none" w:sz="0" w:space="0" w:color="auto"/>
                                      </w:divBdr>
                                      <w:divsChild>
                                        <w:div w:id="2123645903">
                                          <w:marLeft w:val="0"/>
                                          <w:marRight w:val="0"/>
                                          <w:marTop w:val="0"/>
                                          <w:marBottom w:val="0"/>
                                          <w:divBdr>
                                            <w:top w:val="none" w:sz="0" w:space="0" w:color="auto"/>
                                            <w:left w:val="none" w:sz="0" w:space="0" w:color="auto"/>
                                            <w:bottom w:val="none" w:sz="0" w:space="0" w:color="auto"/>
                                            <w:right w:val="none" w:sz="0" w:space="0" w:color="auto"/>
                                          </w:divBdr>
                                        </w:div>
                                        <w:div w:id="1184438866">
                                          <w:marLeft w:val="0"/>
                                          <w:marRight w:val="0"/>
                                          <w:marTop w:val="0"/>
                                          <w:marBottom w:val="0"/>
                                          <w:divBdr>
                                            <w:top w:val="none" w:sz="0" w:space="0" w:color="auto"/>
                                            <w:left w:val="none" w:sz="0" w:space="0" w:color="auto"/>
                                            <w:bottom w:val="none" w:sz="0" w:space="0" w:color="auto"/>
                                            <w:right w:val="none" w:sz="0" w:space="0" w:color="auto"/>
                                          </w:divBdr>
                                        </w:div>
                                        <w:div w:id="702631138">
                                          <w:marLeft w:val="0"/>
                                          <w:marRight w:val="0"/>
                                          <w:marTop w:val="0"/>
                                          <w:marBottom w:val="0"/>
                                          <w:divBdr>
                                            <w:top w:val="none" w:sz="0" w:space="0" w:color="auto"/>
                                            <w:left w:val="none" w:sz="0" w:space="0" w:color="auto"/>
                                            <w:bottom w:val="none" w:sz="0" w:space="0" w:color="auto"/>
                                            <w:right w:val="none" w:sz="0" w:space="0" w:color="auto"/>
                                          </w:divBdr>
                                        </w:div>
                                        <w:div w:id="245114790">
                                          <w:marLeft w:val="0"/>
                                          <w:marRight w:val="0"/>
                                          <w:marTop w:val="0"/>
                                          <w:marBottom w:val="0"/>
                                          <w:divBdr>
                                            <w:top w:val="none" w:sz="0" w:space="0" w:color="auto"/>
                                            <w:left w:val="none" w:sz="0" w:space="0" w:color="auto"/>
                                            <w:bottom w:val="none" w:sz="0" w:space="0" w:color="auto"/>
                                            <w:right w:val="none" w:sz="0" w:space="0" w:color="auto"/>
                                          </w:divBdr>
                                        </w:div>
                                        <w:div w:id="1570381785">
                                          <w:marLeft w:val="0"/>
                                          <w:marRight w:val="0"/>
                                          <w:marTop w:val="0"/>
                                          <w:marBottom w:val="0"/>
                                          <w:divBdr>
                                            <w:top w:val="none" w:sz="0" w:space="0" w:color="auto"/>
                                            <w:left w:val="none" w:sz="0" w:space="0" w:color="auto"/>
                                            <w:bottom w:val="none" w:sz="0" w:space="0" w:color="auto"/>
                                            <w:right w:val="none" w:sz="0" w:space="0" w:color="auto"/>
                                          </w:divBdr>
                                        </w:div>
                                        <w:div w:id="3605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t-yima.ru/svod-pravil-sp-53133302011-planirovka-i-zastroyka-territoriy-sadovodcheskih-dachnyh-obedineniy" TargetMode="External"/><Relationship Id="rId3" Type="http://schemas.openxmlformats.org/officeDocument/2006/relationships/settings" Target="settings.xml"/><Relationship Id="rId7" Type="http://schemas.openxmlformats.org/officeDocument/2006/relationships/hyperlink" Target="http://www.snt-yima.ru/svod-pravil-sp-53133302011-planirovka-i-zastroyka-territoriy-sadovodcheskih-dachnyh-obedinen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t-yima.ru/Program%20Files/StroyConsultant/Temp/53344.htm" TargetMode="External"/><Relationship Id="rId5" Type="http://schemas.openxmlformats.org/officeDocument/2006/relationships/hyperlink" Target="http://www.snt-yima.ru/Program%20Files/StroyConsultant/Temp/9727.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14</Pages>
  <Words>4572</Words>
  <Characters>26061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Дмитрий</cp:lastModifiedBy>
  <cp:revision>4</cp:revision>
  <dcterms:created xsi:type="dcterms:W3CDTF">2019-08-08T04:20:00Z</dcterms:created>
  <dcterms:modified xsi:type="dcterms:W3CDTF">2019-12-02T09:39:00Z</dcterms:modified>
</cp:coreProperties>
</file>